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6F6B" w14:textId="77777777" w:rsidR="00003B11" w:rsidRDefault="00003B11" w:rsidP="00003B11">
      <w:pPr>
        <w:pStyle w:val="Title"/>
        <w:rPr>
          <w:rFonts w:asciiTheme="minorHAnsi" w:hAnsiTheme="minorHAnsi"/>
          <w:b/>
          <w:sz w:val="48"/>
        </w:rPr>
      </w:pPr>
      <w:r>
        <w:rPr>
          <w:rFonts w:asciiTheme="minorHAnsi" w:hAnsiTheme="minorHAnsi"/>
          <w:b/>
          <w:noProof/>
          <w:sz w:val="48"/>
          <w:lang w:eastAsia="en-GB"/>
        </w:rPr>
        <w:drawing>
          <wp:anchor distT="0" distB="0" distL="114300" distR="114300" simplePos="0" relativeHeight="251658240" behindDoc="0" locked="0" layoutInCell="1" allowOverlap="1" wp14:anchorId="38906ABB" wp14:editId="175B4BF9">
            <wp:simplePos x="0" y="0"/>
            <wp:positionH relativeFrom="column">
              <wp:posOffset>4202793</wp:posOffset>
            </wp:positionH>
            <wp:positionV relativeFrom="paragraph">
              <wp:posOffset>0</wp:posOffset>
            </wp:positionV>
            <wp:extent cx="1379220" cy="918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9220" cy="918845"/>
                    </a:xfrm>
                    <a:prstGeom prst="rect">
                      <a:avLst/>
                    </a:prstGeom>
                  </pic:spPr>
                </pic:pic>
              </a:graphicData>
            </a:graphic>
            <wp14:sizeRelH relativeFrom="page">
              <wp14:pctWidth>0</wp14:pctWidth>
            </wp14:sizeRelH>
            <wp14:sizeRelV relativeFrom="page">
              <wp14:pctHeight>0</wp14:pctHeight>
            </wp14:sizeRelV>
          </wp:anchor>
        </w:drawing>
      </w:r>
    </w:p>
    <w:p w14:paraId="3DE74F90" w14:textId="77777777" w:rsidR="005D7E5E" w:rsidRPr="00003B11" w:rsidRDefault="00003B11" w:rsidP="00003B11">
      <w:pPr>
        <w:pStyle w:val="Title"/>
        <w:rPr>
          <w:rFonts w:asciiTheme="minorHAnsi" w:hAnsiTheme="minorHAnsi"/>
          <w:b/>
          <w:sz w:val="48"/>
        </w:rPr>
      </w:pPr>
      <w:r w:rsidRPr="00003B11">
        <w:rPr>
          <w:rFonts w:asciiTheme="minorHAnsi" w:hAnsiTheme="minorHAnsi"/>
          <w:b/>
          <w:sz w:val="48"/>
        </w:rPr>
        <w:t>The Missing Lecture</w:t>
      </w:r>
    </w:p>
    <w:p w14:paraId="6DE40C2B" w14:textId="77777777" w:rsidR="00003B11" w:rsidRPr="00003B11" w:rsidRDefault="00003B11" w:rsidP="00003B11">
      <w:pPr>
        <w:pStyle w:val="Title"/>
        <w:rPr>
          <w:rFonts w:asciiTheme="minorHAnsi" w:hAnsiTheme="minorHAnsi"/>
          <w:b/>
          <w:sz w:val="48"/>
        </w:rPr>
      </w:pPr>
      <w:r w:rsidRPr="00003B11">
        <w:rPr>
          <w:rFonts w:asciiTheme="minorHAnsi" w:hAnsiTheme="minorHAnsi"/>
          <w:b/>
          <w:sz w:val="48"/>
        </w:rPr>
        <w:t>Bunion</w:t>
      </w:r>
    </w:p>
    <w:p w14:paraId="60B3CB0D" w14:textId="77777777" w:rsidR="00003B11" w:rsidRDefault="00003B11"/>
    <w:p w14:paraId="6C818E42" w14:textId="731738CD" w:rsidR="00003B11" w:rsidRPr="00827947" w:rsidRDefault="00827947" w:rsidP="00003B11">
      <w:pPr>
        <w:pStyle w:val="Heading1"/>
        <w:spacing w:before="0"/>
        <w:rPr>
          <w:rFonts w:ascii="Times New Roman" w:hAnsi="Times New Roman" w:cs="Times New Roman"/>
          <w:bCs/>
          <w:color w:val="000000" w:themeColor="text1"/>
          <w:sz w:val="24"/>
          <w:szCs w:val="20"/>
        </w:rPr>
      </w:pPr>
      <w:r w:rsidRPr="00827947">
        <w:rPr>
          <w:rFonts w:ascii="Times New Roman" w:hAnsi="Times New Roman" w:cs="Times New Roman"/>
          <w:bCs/>
          <w:color w:val="000000" w:themeColor="text1"/>
          <w:sz w:val="24"/>
          <w:szCs w:val="20"/>
        </w:rPr>
        <w:t>The following are references to the content provided by David R Tollafield for the above talk given to professionals</w:t>
      </w:r>
    </w:p>
    <w:p w14:paraId="312E901F" w14:textId="77777777" w:rsidR="00827947" w:rsidRDefault="00827947" w:rsidP="00003B11">
      <w:pPr>
        <w:pStyle w:val="Heading1"/>
        <w:spacing w:before="0"/>
        <w:rPr>
          <w:rFonts w:ascii="Times New Roman" w:hAnsi="Times New Roman" w:cs="Times New Roman"/>
          <w:bCs/>
          <w:color w:val="000000" w:themeColor="text1"/>
          <w:sz w:val="22"/>
          <w:szCs w:val="20"/>
        </w:rPr>
      </w:pPr>
    </w:p>
    <w:p w14:paraId="625BB40D" w14:textId="77777777" w:rsidR="00827947" w:rsidRDefault="00827947" w:rsidP="00003B11">
      <w:pPr>
        <w:pStyle w:val="Heading1"/>
        <w:spacing w:before="0"/>
        <w:rPr>
          <w:rFonts w:ascii="Times New Roman" w:hAnsi="Times New Roman" w:cs="Times New Roman"/>
          <w:bCs/>
          <w:color w:val="000000" w:themeColor="text1"/>
          <w:sz w:val="22"/>
          <w:szCs w:val="20"/>
        </w:rPr>
      </w:pPr>
    </w:p>
    <w:p w14:paraId="413B6054" w14:textId="77777777" w:rsidR="00003B11" w:rsidRPr="00827947" w:rsidRDefault="00003B11" w:rsidP="00003B11">
      <w:pPr>
        <w:pStyle w:val="Heading1"/>
        <w:spacing w:before="0"/>
        <w:rPr>
          <w:rFonts w:ascii="Times New Roman" w:hAnsi="Times New Roman" w:cs="Times New Roman"/>
          <w:b/>
          <w:color w:val="000000" w:themeColor="text1"/>
          <w:sz w:val="22"/>
          <w:szCs w:val="22"/>
        </w:rPr>
      </w:pPr>
      <w:r w:rsidRPr="00827947">
        <w:rPr>
          <w:rFonts w:ascii="Times New Roman" w:hAnsi="Times New Roman" w:cs="Times New Roman"/>
          <w:b/>
          <w:bCs/>
          <w:color w:val="000000" w:themeColor="text1"/>
          <w:sz w:val="22"/>
          <w:szCs w:val="22"/>
        </w:rPr>
        <w:t>Bennett, GL</w:t>
      </w:r>
      <w:r w:rsidRPr="00827947">
        <w:rPr>
          <w:rFonts w:ascii="Times New Roman" w:hAnsi="Times New Roman" w:cs="Times New Roman"/>
          <w:bCs/>
          <w:color w:val="000000" w:themeColor="text1"/>
          <w:sz w:val="22"/>
          <w:szCs w:val="22"/>
        </w:rPr>
        <w:t>, Graham CE, Mauldin DM. Morton’s interdigital neuroma: a comprehensive treatment protocol. Foot and Ankle International. 1995; 16:760-3</w:t>
      </w:r>
    </w:p>
    <w:p w14:paraId="1DEB5527" w14:textId="77777777" w:rsidR="00003B11" w:rsidRPr="00827947" w:rsidRDefault="00003B11" w:rsidP="00003B11">
      <w:pPr>
        <w:rPr>
          <w:rFonts w:ascii="Times New Roman" w:hAnsi="Times New Roman" w:cs="Times New Roman"/>
          <w:sz w:val="22"/>
          <w:szCs w:val="22"/>
          <w:lang w:val="de-AT"/>
        </w:rPr>
      </w:pPr>
      <w:r w:rsidRPr="00827947">
        <w:rPr>
          <w:rFonts w:ascii="Times New Roman" w:hAnsi="Times New Roman" w:cs="Times New Roman"/>
          <w:b/>
          <w:sz w:val="22"/>
          <w:szCs w:val="22"/>
        </w:rPr>
        <w:t>Bock P</w:t>
      </w:r>
      <w:r w:rsidRPr="00827947">
        <w:rPr>
          <w:rFonts w:ascii="Times New Roman" w:hAnsi="Times New Roman" w:cs="Times New Roman"/>
          <w:sz w:val="22"/>
          <w:szCs w:val="22"/>
        </w:rPr>
        <w:t xml:space="preserve">, Kristen, KH, </w:t>
      </w:r>
      <w:r w:rsidRPr="00827947">
        <w:rPr>
          <w:rFonts w:ascii="Times New Roman" w:hAnsi="Times New Roman" w:cs="Times New Roman"/>
          <w:sz w:val="22"/>
          <w:szCs w:val="22"/>
          <w:lang w:val="de-AT"/>
        </w:rPr>
        <w:t>Kroner</w:t>
      </w:r>
      <w:r w:rsidRPr="00827947">
        <w:rPr>
          <w:rFonts w:ascii="Times New Roman" w:hAnsi="Times New Roman" w:cs="Times New Roman"/>
          <w:sz w:val="22"/>
          <w:szCs w:val="22"/>
        </w:rPr>
        <w:t>, A, Engel, A hallux valgus and cartilage degeneration in the first metatarsophalangeal joint. J.B.J.S 2004; 86-B: July;669-673</w:t>
      </w:r>
    </w:p>
    <w:p w14:paraId="682E7C74" w14:textId="77777777" w:rsidR="00003B11" w:rsidRPr="00827947" w:rsidRDefault="00003B11" w:rsidP="00003B11">
      <w:pPr>
        <w:rPr>
          <w:rFonts w:ascii="Times New Roman" w:hAnsi="Times New Roman" w:cs="Times New Roman"/>
          <w:sz w:val="22"/>
          <w:szCs w:val="22"/>
        </w:rPr>
      </w:pPr>
      <w:r w:rsidRPr="00827947">
        <w:rPr>
          <w:rFonts w:ascii="Times New Roman" w:hAnsi="Times New Roman" w:cs="Times New Roman"/>
          <w:b/>
          <w:sz w:val="22"/>
          <w:szCs w:val="22"/>
        </w:rPr>
        <w:t>Karabicak,</w:t>
      </w:r>
      <w:r w:rsidRPr="00827947">
        <w:rPr>
          <w:rFonts w:ascii="Times New Roman" w:hAnsi="Times New Roman" w:cs="Times New Roman"/>
          <w:sz w:val="22"/>
          <w:szCs w:val="22"/>
        </w:rPr>
        <w:t xml:space="preserve"> </w:t>
      </w:r>
      <w:r w:rsidRPr="00827947">
        <w:rPr>
          <w:rFonts w:ascii="Times New Roman" w:hAnsi="Times New Roman" w:cs="Times New Roman"/>
          <w:b/>
          <w:sz w:val="22"/>
          <w:szCs w:val="22"/>
        </w:rPr>
        <w:t>GO,</w:t>
      </w:r>
      <w:r w:rsidRPr="00827947">
        <w:rPr>
          <w:rFonts w:ascii="Times New Roman" w:hAnsi="Times New Roman" w:cs="Times New Roman"/>
          <w:sz w:val="22"/>
          <w:szCs w:val="22"/>
        </w:rPr>
        <w:t xml:space="preserve"> Bek, N, Tifticki, U. Short-term effects of kinesiotaping on pain and joint alignment in conservative treatment of hallux valgus. J. Manip.Phys. Ther. 2015;38(8): 564-571</w:t>
      </w:r>
    </w:p>
    <w:p w14:paraId="5A694C53" w14:textId="77777777" w:rsidR="00003B11" w:rsidRPr="00827947" w:rsidRDefault="00003B11" w:rsidP="00003B11">
      <w:pPr>
        <w:rPr>
          <w:rFonts w:ascii="Times New Roman" w:hAnsi="Times New Roman" w:cs="Times New Roman"/>
          <w:sz w:val="22"/>
          <w:szCs w:val="22"/>
        </w:rPr>
      </w:pPr>
      <w:r w:rsidRPr="00827947">
        <w:rPr>
          <w:rFonts w:ascii="Times New Roman" w:hAnsi="Times New Roman" w:cs="Times New Roman"/>
          <w:b/>
          <w:sz w:val="22"/>
          <w:szCs w:val="22"/>
        </w:rPr>
        <w:t>Dayton, P</w:t>
      </w:r>
      <w:r w:rsidRPr="00827947">
        <w:rPr>
          <w:rFonts w:ascii="Times New Roman" w:hAnsi="Times New Roman" w:cs="Times New Roman"/>
          <w:sz w:val="22"/>
          <w:szCs w:val="22"/>
        </w:rPr>
        <w:t>, Dixon, X, Mahoney, J in Dayton Evidence-based bunion surgery. A critical examination of current and emerging concepts and techniques. 2018 pp3-5. Springer 2018</w:t>
      </w:r>
    </w:p>
    <w:p w14:paraId="14A1F25C" w14:textId="77777777" w:rsidR="00003B11" w:rsidRPr="00827947" w:rsidRDefault="00003B11" w:rsidP="00003B11">
      <w:pPr>
        <w:rPr>
          <w:rFonts w:ascii="Times New Roman" w:hAnsi="Times New Roman" w:cs="Times New Roman"/>
          <w:sz w:val="22"/>
          <w:szCs w:val="22"/>
        </w:rPr>
      </w:pPr>
      <w:r w:rsidRPr="00827947">
        <w:rPr>
          <w:rFonts w:ascii="Times New Roman" w:hAnsi="Times New Roman" w:cs="Times New Roman"/>
          <w:b/>
          <w:sz w:val="22"/>
          <w:szCs w:val="22"/>
        </w:rPr>
        <w:t>Grice, J,</w:t>
      </w:r>
      <w:r w:rsidRPr="00827947">
        <w:rPr>
          <w:rFonts w:ascii="Times New Roman" w:hAnsi="Times New Roman" w:cs="Times New Roman"/>
          <w:sz w:val="22"/>
          <w:szCs w:val="22"/>
        </w:rPr>
        <w:t xml:space="preserve"> Marsland, D, Smith, G, Calder, J. Efficacy of foot and ankle corticosteroid injections. Foot and Ankle Int. 2017;38(1):8-13 </w:t>
      </w:r>
    </w:p>
    <w:p w14:paraId="23DB5D9C" w14:textId="77777777" w:rsidR="00003B11" w:rsidRPr="00827947" w:rsidRDefault="00003B11" w:rsidP="00003B11">
      <w:pPr>
        <w:rPr>
          <w:rFonts w:ascii="Times New Roman" w:hAnsi="Times New Roman" w:cs="Times New Roman"/>
          <w:sz w:val="22"/>
          <w:szCs w:val="22"/>
        </w:rPr>
      </w:pPr>
      <w:r w:rsidRPr="00827947">
        <w:rPr>
          <w:rFonts w:ascii="Times New Roman" w:hAnsi="Times New Roman" w:cs="Times New Roman"/>
          <w:b/>
          <w:sz w:val="22"/>
          <w:szCs w:val="22"/>
        </w:rPr>
        <w:t>Jastifer JR</w:t>
      </w:r>
      <w:r w:rsidRPr="00827947">
        <w:rPr>
          <w:rFonts w:ascii="Times New Roman" w:hAnsi="Times New Roman" w:cs="Times New Roman"/>
          <w:sz w:val="22"/>
          <w:szCs w:val="22"/>
        </w:rPr>
        <w:t>, Coughlin, MJ, Doty, JF, Stevens FR, Hirose, C, Kemp, TJ Osteochondral lesions in surgically treated hallux valgus. Foot &amp; Ankle Int. 2014;35(7):643-649. DOI:10.1177/1071100714531234</w:t>
      </w:r>
    </w:p>
    <w:p w14:paraId="7F3F1AC7" w14:textId="4A68D4CE" w:rsidR="00773DC9" w:rsidRPr="00827947" w:rsidRDefault="00773DC9" w:rsidP="00003B11">
      <w:pPr>
        <w:rPr>
          <w:rFonts w:ascii="Times New Roman" w:hAnsi="Times New Roman" w:cs="Times New Roman"/>
          <w:sz w:val="22"/>
          <w:szCs w:val="22"/>
        </w:rPr>
      </w:pPr>
      <w:r w:rsidRPr="00827947">
        <w:rPr>
          <w:rFonts w:ascii="Times New Roman" w:hAnsi="Times New Roman" w:cs="Times New Roman"/>
          <w:b/>
          <w:sz w:val="22"/>
          <w:szCs w:val="22"/>
        </w:rPr>
        <w:t>Lopez, D,</w:t>
      </w:r>
      <w:r w:rsidRPr="00827947">
        <w:rPr>
          <w:rFonts w:ascii="Times New Roman" w:hAnsi="Times New Roman" w:cs="Times New Roman"/>
          <w:sz w:val="22"/>
          <w:szCs w:val="22"/>
        </w:rPr>
        <w:t xml:space="preserve"> Feranadez JMV, Iglesias, MEL, Castro, CA, Lobo, CC, Galvan, JR, de Bengoa Vellejo, RB. Influence of depression in a sample of people with hallux valgus. International J. Mental Health Nursing. </w:t>
      </w:r>
      <w:r w:rsidR="00827947" w:rsidRPr="00827947">
        <w:rPr>
          <w:rFonts w:ascii="Times New Roman" w:hAnsi="Times New Roman" w:cs="Times New Roman"/>
          <w:sz w:val="22"/>
          <w:szCs w:val="22"/>
        </w:rPr>
        <w:t>2016; 25:574</w:t>
      </w:r>
      <w:r w:rsidRPr="00827947">
        <w:rPr>
          <w:rFonts w:ascii="Times New Roman" w:hAnsi="Times New Roman" w:cs="Times New Roman"/>
          <w:sz w:val="22"/>
          <w:szCs w:val="22"/>
        </w:rPr>
        <w:t>-578</w:t>
      </w:r>
    </w:p>
    <w:p w14:paraId="022744F5" w14:textId="2A27D469" w:rsidR="00773DC9" w:rsidRPr="00827947" w:rsidRDefault="00827947" w:rsidP="00003B11">
      <w:pPr>
        <w:rPr>
          <w:rFonts w:ascii="Times New Roman" w:hAnsi="Times New Roman" w:cs="Times New Roman"/>
          <w:sz w:val="22"/>
          <w:szCs w:val="22"/>
        </w:rPr>
      </w:pPr>
      <w:r w:rsidRPr="00827947">
        <w:rPr>
          <w:rFonts w:ascii="Times New Roman" w:hAnsi="Times New Roman" w:cs="Times New Roman"/>
          <w:b/>
          <w:sz w:val="22"/>
          <w:szCs w:val="22"/>
        </w:rPr>
        <w:t>Plaass, C,</w:t>
      </w:r>
      <w:r w:rsidRPr="00827947">
        <w:rPr>
          <w:rFonts w:ascii="Times New Roman" w:hAnsi="Times New Roman" w:cs="Times New Roman"/>
          <w:sz w:val="22"/>
          <w:szCs w:val="22"/>
        </w:rPr>
        <w:t xml:space="preserve"> Karch, A, Koch, A, Widerhoeft, V, V, Ettinger, S, Claassen, L, Daniliidis, K, Yao, D, Stukenborg-Colsman, C. Short ter</w:t>
      </w:r>
      <w:bookmarkStart w:id="0" w:name="_GoBack"/>
      <w:bookmarkEnd w:id="0"/>
      <w:r w:rsidRPr="00827947">
        <w:rPr>
          <w:rFonts w:ascii="Times New Roman" w:hAnsi="Times New Roman" w:cs="Times New Roman"/>
          <w:sz w:val="22"/>
          <w:szCs w:val="22"/>
        </w:rPr>
        <w:t>m results of dynamic splinting for hallux valgus – A prospective randomized study. Foot an Ankle Surgery. Doi.org/10.1016/j. fas2019.01.002</w:t>
      </w:r>
    </w:p>
    <w:p w14:paraId="31A2E744" w14:textId="77777777" w:rsidR="00003B11" w:rsidRPr="00827947" w:rsidRDefault="00003B11" w:rsidP="00003B11">
      <w:pPr>
        <w:rPr>
          <w:rFonts w:ascii="Times New Roman" w:hAnsi="Times New Roman" w:cs="Times New Roman"/>
          <w:sz w:val="22"/>
          <w:szCs w:val="22"/>
        </w:rPr>
      </w:pPr>
      <w:r w:rsidRPr="000B1DE9">
        <w:rPr>
          <w:rFonts w:ascii="Times New Roman" w:hAnsi="Times New Roman" w:cs="Times New Roman"/>
          <w:b/>
          <w:sz w:val="22"/>
          <w:szCs w:val="22"/>
        </w:rPr>
        <w:t>Roukis, TS,</w:t>
      </w:r>
      <w:r w:rsidRPr="00827947">
        <w:rPr>
          <w:rFonts w:ascii="Times New Roman" w:hAnsi="Times New Roman" w:cs="Times New Roman"/>
          <w:sz w:val="22"/>
          <w:szCs w:val="22"/>
        </w:rPr>
        <w:t xml:space="preserve"> Weil JLS, Weil, SLS, Landsman, AR. Predicting cartilage erosion in hallux valgus: clinical, radiographic and intraoperative analysis. J Foot Ankle Surg. 2005;44(1):13-21</w:t>
      </w:r>
    </w:p>
    <w:p w14:paraId="46DE0647" w14:textId="389E6FAA" w:rsidR="00827947" w:rsidRPr="00827947" w:rsidRDefault="00827947" w:rsidP="00003B11">
      <w:pPr>
        <w:rPr>
          <w:rFonts w:ascii="Times New Roman" w:hAnsi="Times New Roman" w:cs="Times New Roman"/>
          <w:sz w:val="22"/>
          <w:szCs w:val="22"/>
        </w:rPr>
      </w:pPr>
      <w:r w:rsidRPr="000B1DE9">
        <w:rPr>
          <w:rFonts w:ascii="Times New Roman" w:hAnsi="Times New Roman" w:cs="Times New Roman"/>
          <w:b/>
          <w:sz w:val="22"/>
          <w:szCs w:val="22"/>
        </w:rPr>
        <w:t>Shih, Kao-Shang,</w:t>
      </w:r>
      <w:r w:rsidRPr="00827947">
        <w:rPr>
          <w:rFonts w:ascii="Times New Roman" w:hAnsi="Times New Roman" w:cs="Times New Roman"/>
          <w:sz w:val="22"/>
          <w:szCs w:val="22"/>
        </w:rPr>
        <w:t xml:space="preserve"> Chien, HL, Lu, Tung-Wu, Chang, CF. Gait changes in individuals with bilateral hallux valgus reduce first metatarsophalangeal loading but increase abductor moments. Gait &amp; Posture 2014; 40:38-42</w:t>
      </w:r>
    </w:p>
    <w:p w14:paraId="518EDB04" w14:textId="77777777" w:rsidR="00003B11" w:rsidRPr="00827947" w:rsidRDefault="00003B11" w:rsidP="00003B11">
      <w:pPr>
        <w:rPr>
          <w:rFonts w:ascii="Times New Roman" w:hAnsi="Times New Roman" w:cs="Times New Roman"/>
          <w:sz w:val="22"/>
          <w:szCs w:val="22"/>
        </w:rPr>
      </w:pPr>
      <w:r w:rsidRPr="000B1DE9">
        <w:rPr>
          <w:rFonts w:ascii="Times New Roman" w:hAnsi="Times New Roman" w:cs="Times New Roman"/>
          <w:b/>
          <w:sz w:val="22"/>
          <w:szCs w:val="22"/>
        </w:rPr>
        <w:t>Smith SE,</w:t>
      </w:r>
      <w:r w:rsidRPr="00827947">
        <w:rPr>
          <w:rFonts w:ascii="Times New Roman" w:hAnsi="Times New Roman" w:cs="Times New Roman"/>
          <w:sz w:val="22"/>
          <w:szCs w:val="22"/>
        </w:rPr>
        <w:t xml:space="preserve"> Landorf KB, Gilheany, MF, Menz, HB. Development and reliability of an intraoperative first metatarsophalangeal joint cartilage evaluation tool for use in hallux valgus surgery. The Journal of Foot and Ankle Surgery 2011; 50:31-36 </w:t>
      </w:r>
    </w:p>
    <w:p w14:paraId="707514F2" w14:textId="77777777" w:rsidR="00003B11" w:rsidRPr="00827947" w:rsidRDefault="00003B11" w:rsidP="00003B11">
      <w:pPr>
        <w:rPr>
          <w:rFonts w:ascii="Times New Roman" w:hAnsi="Times New Roman" w:cs="Times New Roman"/>
          <w:sz w:val="22"/>
          <w:szCs w:val="22"/>
        </w:rPr>
      </w:pPr>
      <w:r w:rsidRPr="000B1DE9">
        <w:rPr>
          <w:rFonts w:ascii="Times New Roman" w:hAnsi="Times New Roman" w:cs="Times New Roman"/>
          <w:b/>
          <w:sz w:val="22"/>
          <w:szCs w:val="22"/>
        </w:rPr>
        <w:t>Tollafield DR.</w:t>
      </w:r>
      <w:r w:rsidRPr="00827947">
        <w:rPr>
          <w:rFonts w:ascii="Times New Roman" w:hAnsi="Times New Roman" w:cs="Times New Roman"/>
          <w:sz w:val="22"/>
          <w:szCs w:val="22"/>
        </w:rPr>
        <w:t xml:space="preserve"> Bunion. Hallux Valgus Behind the Scenes. Pain Series 2. Busypencilcase Communications Ltd. 2018. pp22</w:t>
      </w:r>
    </w:p>
    <w:p w14:paraId="56B188B7" w14:textId="77777777" w:rsidR="00003B11" w:rsidRPr="00827947" w:rsidRDefault="00003B11" w:rsidP="00003B11">
      <w:pPr>
        <w:rPr>
          <w:rFonts w:ascii="Times New Roman" w:hAnsi="Times New Roman" w:cs="Times New Roman"/>
          <w:sz w:val="22"/>
          <w:szCs w:val="22"/>
        </w:rPr>
      </w:pPr>
      <w:r w:rsidRPr="000B1DE9">
        <w:rPr>
          <w:rFonts w:ascii="Times New Roman" w:hAnsi="Times New Roman" w:cs="Times New Roman"/>
          <w:b/>
          <w:sz w:val="22"/>
          <w:szCs w:val="22"/>
        </w:rPr>
        <w:t>Van den Borne, MPJ,</w:t>
      </w:r>
      <w:r w:rsidRPr="00827947">
        <w:rPr>
          <w:rFonts w:ascii="Times New Roman" w:hAnsi="Times New Roman" w:cs="Times New Roman"/>
          <w:sz w:val="22"/>
          <w:szCs w:val="22"/>
        </w:rPr>
        <w:t xml:space="preserve"> Raijmakers, NJH, Vanlauwe, J, de Jong, SN, Bellemans, J, Saris, DBF. International Cartilage Repair Society (ICRS) and Oswestry macroscopic cartilage evaluation scores validated for use in autologous chondrocyte implantation (ACI) and microfracture. Osteoarthritis and Cartilage. 2007;15,1397-1402</w:t>
      </w:r>
    </w:p>
    <w:p w14:paraId="5B5F3FD9" w14:textId="77777777" w:rsidR="00003B11" w:rsidRPr="00827947" w:rsidRDefault="00003B11">
      <w:pPr>
        <w:rPr>
          <w:sz w:val="22"/>
          <w:szCs w:val="22"/>
        </w:rPr>
      </w:pPr>
    </w:p>
    <w:p w14:paraId="4870C32E" w14:textId="36C9378B" w:rsidR="00003B11" w:rsidRPr="00827947" w:rsidRDefault="00827947">
      <w:pPr>
        <w:rPr>
          <w:sz w:val="22"/>
          <w:szCs w:val="22"/>
          <w:u w:val="single"/>
        </w:rPr>
      </w:pPr>
      <w:r w:rsidRPr="00827947">
        <w:rPr>
          <w:sz w:val="22"/>
          <w:szCs w:val="22"/>
          <w:u w:val="single"/>
        </w:rPr>
        <w:t>General</w:t>
      </w:r>
    </w:p>
    <w:p w14:paraId="60648DC3" w14:textId="77777777" w:rsidR="00827947" w:rsidRPr="00827947" w:rsidRDefault="00827947">
      <w:pPr>
        <w:rPr>
          <w:u w:val="single"/>
        </w:rPr>
      </w:pPr>
    </w:p>
    <w:p w14:paraId="28FC97CD" w14:textId="77777777" w:rsidR="00003B11" w:rsidRPr="00827947" w:rsidRDefault="00003B11">
      <w:pPr>
        <w:rPr>
          <w:sz w:val="22"/>
        </w:rPr>
      </w:pPr>
      <w:hyperlink r:id="rId5" w:history="1">
        <w:r w:rsidRPr="00827947">
          <w:rPr>
            <w:rStyle w:val="Hyperlink"/>
            <w:sz w:val="22"/>
          </w:rPr>
          <w:t>https://www.pascom-10.com/information-resources</w:t>
        </w:r>
      </w:hyperlink>
    </w:p>
    <w:sectPr w:rsidR="00003B11" w:rsidRPr="00827947" w:rsidSect="00003B11">
      <w:pgSz w:w="11900" w:h="16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11"/>
    <w:rsid w:val="00003B11"/>
    <w:rsid w:val="00045C36"/>
    <w:rsid w:val="000A7737"/>
    <w:rsid w:val="000B1DE9"/>
    <w:rsid w:val="0011283D"/>
    <w:rsid w:val="002A6288"/>
    <w:rsid w:val="004C4D47"/>
    <w:rsid w:val="00567C67"/>
    <w:rsid w:val="005829F6"/>
    <w:rsid w:val="005B1C71"/>
    <w:rsid w:val="006A1F7A"/>
    <w:rsid w:val="006B61CD"/>
    <w:rsid w:val="006D10B6"/>
    <w:rsid w:val="006E3B47"/>
    <w:rsid w:val="00754BB4"/>
    <w:rsid w:val="00773DC9"/>
    <w:rsid w:val="007966E0"/>
    <w:rsid w:val="00827947"/>
    <w:rsid w:val="008C0872"/>
    <w:rsid w:val="00A0550C"/>
    <w:rsid w:val="00A06F23"/>
    <w:rsid w:val="00BF3BC8"/>
    <w:rsid w:val="00C8071B"/>
    <w:rsid w:val="00C87DAB"/>
    <w:rsid w:val="00C97061"/>
    <w:rsid w:val="00DC60AC"/>
    <w:rsid w:val="00E33D28"/>
    <w:rsid w:val="00E44BCB"/>
    <w:rsid w:val="00F013C8"/>
    <w:rsid w:val="00F9503D"/>
    <w:rsid w:val="00FF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21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9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3C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uiPriority w:val="99"/>
    <w:rsid w:val="00FF3C4B"/>
    <w:pPr>
      <w:keepLines w:val="0"/>
      <w:widowControl w:val="0"/>
      <w:autoSpaceDE w:val="0"/>
      <w:autoSpaceDN w:val="0"/>
      <w:adjustRightInd w:val="0"/>
      <w:spacing w:before="240" w:after="60"/>
    </w:pPr>
    <w:rPr>
      <w:b/>
      <w:bCs/>
      <w:i/>
      <w:iCs/>
      <w:color w:val="auto"/>
      <w:sz w:val="22"/>
      <w:szCs w:val="28"/>
      <w:lang w:eastAsia="en-GB"/>
    </w:rPr>
  </w:style>
  <w:style w:type="character" w:customStyle="1" w:styleId="Heading2Char">
    <w:name w:val="Heading 2 Char"/>
    <w:basedOn w:val="DefaultParagraphFont"/>
    <w:link w:val="Heading2"/>
    <w:uiPriority w:val="9"/>
    <w:semiHidden/>
    <w:rsid w:val="00FF3C4B"/>
    <w:rPr>
      <w:rFonts w:asciiTheme="majorHAnsi" w:eastAsiaTheme="majorEastAsia" w:hAnsiTheme="majorHAnsi" w:cstheme="majorBidi"/>
      <w:color w:val="2E74B5" w:themeColor="accent1" w:themeShade="BF"/>
      <w:sz w:val="26"/>
      <w:szCs w:val="26"/>
    </w:rPr>
  </w:style>
  <w:style w:type="paragraph" w:customStyle="1" w:styleId="Style3">
    <w:name w:val="Style3"/>
    <w:basedOn w:val="Heading1"/>
    <w:uiPriority w:val="1"/>
    <w:rsid w:val="00F9503D"/>
    <w:pPr>
      <w:keepNext w:val="0"/>
      <w:keepLines w:val="0"/>
      <w:widowControl w:val="0"/>
      <w:autoSpaceDE w:val="0"/>
      <w:autoSpaceDN w:val="0"/>
      <w:spacing w:before="100"/>
    </w:pPr>
    <w:rPr>
      <w:rFonts w:asciiTheme="minorHAnsi" w:eastAsia="Calibri" w:hAnsiTheme="minorHAnsi" w:cs="Calibri"/>
      <w:b/>
      <w:bCs/>
      <w:color w:val="auto"/>
      <w:sz w:val="28"/>
      <w:szCs w:val="24"/>
      <w:lang w:val="en-US"/>
    </w:rPr>
  </w:style>
  <w:style w:type="character" w:customStyle="1" w:styleId="Heading1Char">
    <w:name w:val="Heading 1 Char"/>
    <w:basedOn w:val="DefaultParagraphFont"/>
    <w:link w:val="Heading1"/>
    <w:uiPriority w:val="9"/>
    <w:rsid w:val="005829F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3B11"/>
    <w:rPr>
      <w:color w:val="0563C1" w:themeColor="hyperlink"/>
      <w:u w:val="single"/>
    </w:rPr>
  </w:style>
  <w:style w:type="paragraph" w:styleId="Title">
    <w:name w:val="Title"/>
    <w:basedOn w:val="Normal"/>
    <w:next w:val="Normal"/>
    <w:link w:val="TitleChar"/>
    <w:uiPriority w:val="10"/>
    <w:qFormat/>
    <w:rsid w:val="00003B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B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pascom-10.com/information-resourc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420</Words>
  <Characters>2399</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following are references to the content provided by David R Tollafield for t</vt:lpstr>
      <vt:lpstr/>
      <vt:lpstr/>
      <vt:lpstr>Bennett, GL, Graham CE, Mauldin DM. Morton’s interdigital neuroma: a comprehensi</vt:lpstr>
    </vt:vector>
  </TitlesOfParts>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2020-02-12T06:06:00Z</dcterms:created>
  <dcterms:modified xsi:type="dcterms:W3CDTF">2020-02-12T06:28:00Z</dcterms:modified>
</cp:coreProperties>
</file>