
<file path=[Content_Types].xml><?xml version="1.0" encoding="utf-8"?>
<Types xmlns="http://schemas.openxmlformats.org/package/2006/content-types">
  <Default Extension="xml" ContentType="application/xml"/>
  <Default Extension="pdf" ContentType="application/pdf"/>
  <Default Extension="jpeg" ContentType="image/jpeg"/>
  <Default Extension="jpg" ContentType="image/jpeg"/>
  <Default Extension="tiff" ContentType="image/tiff"/>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BAAD9" w14:textId="63961C44" w:rsidR="004148D3" w:rsidRDefault="00D02F9F" w:rsidP="004148D3">
      <w:pPr>
        <w:pStyle w:val="Title"/>
        <w:ind w:left="-284"/>
        <w:rPr>
          <w:b/>
          <w:sz w:val="32"/>
          <w:szCs w:val="32"/>
        </w:rPr>
      </w:pPr>
      <w:r w:rsidRPr="006A40AA">
        <w:rPr>
          <w:noProof/>
          <w:lang w:eastAsia="en-GB"/>
        </w:rPr>
        <w:drawing>
          <wp:anchor distT="0" distB="0" distL="114300" distR="114300" simplePos="0" relativeHeight="251663360" behindDoc="0" locked="0" layoutInCell="1" allowOverlap="1" wp14:anchorId="6C702813" wp14:editId="7D0D287F">
            <wp:simplePos x="0" y="0"/>
            <wp:positionH relativeFrom="column">
              <wp:posOffset>5504255</wp:posOffset>
            </wp:positionH>
            <wp:positionV relativeFrom="paragraph">
              <wp:posOffset>176</wp:posOffset>
            </wp:positionV>
            <wp:extent cx="1265555" cy="802640"/>
            <wp:effectExtent l="0" t="0" r="4445"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555" cy="802640"/>
                    </a:xfrm>
                    <a:prstGeom prst="rect">
                      <a:avLst/>
                    </a:prstGeom>
                  </pic:spPr>
                </pic:pic>
              </a:graphicData>
            </a:graphic>
            <wp14:sizeRelH relativeFrom="page">
              <wp14:pctWidth>0</wp14:pctWidth>
            </wp14:sizeRelH>
            <wp14:sizeRelV relativeFrom="page">
              <wp14:pctHeight>0</wp14:pctHeight>
            </wp14:sizeRelV>
          </wp:anchor>
        </w:drawing>
      </w:r>
      <w:r w:rsidR="00FB7AC1">
        <w:rPr>
          <w:b/>
          <w:noProof/>
          <w:sz w:val="32"/>
          <w:szCs w:val="32"/>
          <w:lang w:eastAsia="en-GB"/>
        </w:rPr>
        <w:drawing>
          <wp:anchor distT="0" distB="0" distL="114300" distR="114300" simplePos="0" relativeHeight="251664384" behindDoc="0" locked="0" layoutInCell="1" allowOverlap="1" wp14:anchorId="6CED5930" wp14:editId="10C7472E">
            <wp:simplePos x="0" y="0"/>
            <wp:positionH relativeFrom="column">
              <wp:posOffset>-219075</wp:posOffset>
            </wp:positionH>
            <wp:positionV relativeFrom="paragraph">
              <wp:posOffset>44450</wp:posOffset>
            </wp:positionV>
            <wp:extent cx="1486535" cy="6572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01 at 08.09.4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657225"/>
                    </a:xfrm>
                    <a:prstGeom prst="rect">
                      <a:avLst/>
                    </a:prstGeom>
                  </pic:spPr>
                </pic:pic>
              </a:graphicData>
            </a:graphic>
            <wp14:sizeRelH relativeFrom="page">
              <wp14:pctWidth>0</wp14:pctWidth>
            </wp14:sizeRelH>
            <wp14:sizeRelV relativeFrom="page">
              <wp14:pctHeight>0</wp14:pctHeight>
            </wp14:sizeRelV>
          </wp:anchor>
        </w:drawing>
      </w:r>
    </w:p>
    <w:p w14:paraId="62063F04" w14:textId="40C680DB" w:rsidR="004148D3" w:rsidRDefault="004148D3" w:rsidP="004148D3">
      <w:pPr>
        <w:pStyle w:val="Title"/>
        <w:ind w:left="-284"/>
        <w:rPr>
          <w:b/>
          <w:sz w:val="32"/>
          <w:szCs w:val="32"/>
        </w:rPr>
      </w:pPr>
    </w:p>
    <w:p w14:paraId="45B4EF46" w14:textId="77777777" w:rsidR="00FB7AC1" w:rsidRDefault="00FB7AC1" w:rsidP="00FB7AC1">
      <w:pPr>
        <w:pStyle w:val="Title"/>
        <w:rPr>
          <w:b/>
          <w:sz w:val="32"/>
          <w:szCs w:val="32"/>
        </w:rPr>
      </w:pPr>
    </w:p>
    <w:p w14:paraId="45CF65A6" w14:textId="55D4F210" w:rsidR="00D069EE" w:rsidRPr="00342659" w:rsidRDefault="00AD7F61" w:rsidP="00250A2A">
      <w:pPr>
        <w:pStyle w:val="Title"/>
        <w:ind w:left="-284" w:right="-284"/>
        <w:rPr>
          <w:rFonts w:asciiTheme="minorHAnsi" w:hAnsiTheme="minorHAnsi"/>
          <w:b/>
          <w:sz w:val="40"/>
          <w:szCs w:val="40"/>
        </w:rPr>
      </w:pPr>
      <w:r w:rsidRPr="00342659">
        <w:rPr>
          <w:rFonts w:asciiTheme="minorHAnsi" w:hAnsiTheme="minorHAnsi"/>
          <w:b/>
          <w:sz w:val="40"/>
          <w:szCs w:val="40"/>
        </w:rPr>
        <w:t xml:space="preserve">Why does treatment </w:t>
      </w:r>
      <w:r w:rsidR="00FD223B" w:rsidRPr="00342659">
        <w:rPr>
          <w:rFonts w:asciiTheme="minorHAnsi" w:hAnsiTheme="minorHAnsi"/>
          <w:b/>
          <w:sz w:val="40"/>
          <w:szCs w:val="40"/>
        </w:rPr>
        <w:t>fail</w:t>
      </w:r>
      <w:r w:rsidRPr="00342659">
        <w:rPr>
          <w:rFonts w:asciiTheme="minorHAnsi" w:hAnsiTheme="minorHAnsi"/>
          <w:b/>
          <w:sz w:val="40"/>
          <w:szCs w:val="40"/>
        </w:rPr>
        <w:t xml:space="preserve">? </w:t>
      </w:r>
    </w:p>
    <w:p w14:paraId="098849BD" w14:textId="05D60C3C" w:rsidR="004148D3" w:rsidRDefault="005D0869" w:rsidP="00FB7AC1">
      <w:pPr>
        <w:pStyle w:val="Title"/>
        <w:ind w:left="-284"/>
        <w:rPr>
          <w:b/>
          <w:i/>
          <w:sz w:val="28"/>
          <w:szCs w:val="32"/>
        </w:rPr>
      </w:pPr>
      <w:r>
        <w:rPr>
          <w:noProof/>
          <w:lang w:eastAsia="en-GB"/>
        </w:rPr>
        <w:drawing>
          <wp:anchor distT="0" distB="0" distL="114300" distR="114300" simplePos="0" relativeHeight="251665408" behindDoc="0" locked="0" layoutInCell="1" allowOverlap="1" wp14:anchorId="7FFFACB8" wp14:editId="4FAC9C18">
            <wp:simplePos x="0" y="0"/>
            <wp:positionH relativeFrom="column">
              <wp:posOffset>-450140</wp:posOffset>
            </wp:positionH>
            <wp:positionV relativeFrom="paragraph">
              <wp:posOffset>217953</wp:posOffset>
            </wp:positionV>
            <wp:extent cx="7624370" cy="2100199"/>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June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214" cy="2100707"/>
                    </a:xfrm>
                    <a:prstGeom prst="rect">
                      <a:avLst/>
                    </a:prstGeom>
                  </pic:spPr>
                </pic:pic>
              </a:graphicData>
            </a:graphic>
            <wp14:sizeRelH relativeFrom="page">
              <wp14:pctWidth>0</wp14:pctWidth>
            </wp14:sizeRelH>
            <wp14:sizeRelV relativeFrom="page">
              <wp14:pctHeight>0</wp14:pctHeight>
            </wp14:sizeRelV>
          </wp:anchor>
        </w:drawing>
      </w:r>
      <w:r w:rsidR="00AD7F61" w:rsidRPr="00D02F9F">
        <w:rPr>
          <w:rFonts w:asciiTheme="minorHAnsi" w:hAnsiTheme="minorHAnsi"/>
          <w:sz w:val="28"/>
          <w:szCs w:val="32"/>
        </w:rPr>
        <w:t xml:space="preserve">The </w:t>
      </w:r>
      <w:r w:rsidR="00893A18" w:rsidRPr="00D02F9F">
        <w:rPr>
          <w:rFonts w:asciiTheme="minorHAnsi" w:hAnsiTheme="minorHAnsi"/>
          <w:sz w:val="28"/>
          <w:szCs w:val="32"/>
        </w:rPr>
        <w:t xml:space="preserve">Neuroma </w:t>
      </w:r>
      <w:r w:rsidR="00AD7F61" w:rsidRPr="00D02F9F">
        <w:rPr>
          <w:rFonts w:asciiTheme="minorHAnsi" w:hAnsiTheme="minorHAnsi"/>
          <w:sz w:val="28"/>
          <w:szCs w:val="32"/>
        </w:rPr>
        <w:t>Timeline Phenomenon</w:t>
      </w:r>
      <w:r w:rsidR="00D069EE" w:rsidRPr="00D02F9F">
        <w:rPr>
          <w:rFonts w:asciiTheme="minorHAnsi" w:hAnsiTheme="minorHAnsi"/>
          <w:sz w:val="28"/>
          <w:szCs w:val="32"/>
        </w:rPr>
        <w:t xml:space="preserve"> is not new</w:t>
      </w:r>
    </w:p>
    <w:p w14:paraId="1D3FB6F2" w14:textId="77777777" w:rsidR="005D0869" w:rsidRPr="004148D3" w:rsidRDefault="005D0869" w:rsidP="00FB7AC1">
      <w:pPr>
        <w:ind w:left="-284"/>
      </w:pPr>
    </w:p>
    <w:p w14:paraId="74A254F4" w14:textId="420D8F50" w:rsidR="00A471C6" w:rsidRPr="001E67D0" w:rsidRDefault="004148D3" w:rsidP="001E67D0">
      <w:pPr>
        <w:pStyle w:val="Title"/>
        <w:ind w:left="-284"/>
        <w:rPr>
          <w:rFonts w:asciiTheme="minorHAnsi" w:hAnsiTheme="minorHAnsi"/>
          <w:i/>
          <w:sz w:val="28"/>
          <w:szCs w:val="24"/>
        </w:rPr>
      </w:pPr>
      <w:r w:rsidRPr="00D02F9F">
        <w:rPr>
          <w:rFonts w:asciiTheme="minorHAnsi" w:hAnsiTheme="minorHAnsi"/>
          <w:sz w:val="28"/>
          <w:szCs w:val="24"/>
        </w:rPr>
        <w:t>David R Tollafield</w:t>
      </w:r>
      <w:r w:rsidRPr="00D02F9F">
        <w:rPr>
          <w:rFonts w:asciiTheme="minorHAnsi" w:hAnsiTheme="minorHAnsi"/>
          <w:noProof/>
          <w:sz w:val="28"/>
          <w:szCs w:val="24"/>
          <w:lang w:eastAsia="en-GB"/>
        </w:rPr>
        <w:t xml:space="preserve"> </w:t>
      </w:r>
    </w:p>
    <w:p w14:paraId="04256C97" w14:textId="3C9236FC" w:rsidR="00FC714A" w:rsidRPr="00456BF1" w:rsidRDefault="00FC714A" w:rsidP="00FB7AC1">
      <w:pPr>
        <w:ind w:left="-284"/>
        <w:rPr>
          <w:sz w:val="22"/>
        </w:rPr>
      </w:pPr>
    </w:p>
    <w:p w14:paraId="05D31A61" w14:textId="0949A95E" w:rsidR="005F0A5E" w:rsidRPr="00250A2A" w:rsidRDefault="005F0A5E" w:rsidP="00FB7AC1">
      <w:pPr>
        <w:ind w:left="-284"/>
        <w:rPr>
          <w:sz w:val="22"/>
        </w:rPr>
      </w:pPr>
      <w:r w:rsidRPr="00250A2A">
        <w:rPr>
          <w:sz w:val="22"/>
        </w:rPr>
        <w:t>This article is not about surgery but about prevention of surgery and so should appeal to a broad church of podiatrists rather than one group. The topic emphasises the importance of upskilling and</w:t>
      </w:r>
      <w:r w:rsidRPr="00250A2A">
        <w:rPr>
          <w:sz w:val="22"/>
          <w:szCs w:val="22"/>
        </w:rPr>
        <w:t xml:space="preserve"> focuses on ‘timeline’. This is an aspect I started to discuss with patients after reflecting</w:t>
      </w:r>
      <w:r w:rsidR="00602C2B">
        <w:rPr>
          <w:sz w:val="22"/>
          <w:szCs w:val="22"/>
        </w:rPr>
        <w:t xml:space="preserve"> up</w:t>
      </w:r>
      <w:r w:rsidRPr="00250A2A">
        <w:rPr>
          <w:sz w:val="22"/>
          <w:szCs w:val="22"/>
        </w:rPr>
        <w:t xml:space="preserve">on the effect of Morton’s neuroma. </w:t>
      </w:r>
    </w:p>
    <w:p w14:paraId="35EA4D29" w14:textId="77777777" w:rsidR="00D84036" w:rsidRDefault="00D84036" w:rsidP="00FB7AC1">
      <w:pPr>
        <w:ind w:left="-284"/>
        <w:rPr>
          <w:sz w:val="22"/>
        </w:rPr>
      </w:pPr>
    </w:p>
    <w:p w14:paraId="47A01915" w14:textId="7D177A27" w:rsidR="00D84036" w:rsidRPr="001F5075" w:rsidRDefault="00D84036" w:rsidP="00FB7AC1">
      <w:pPr>
        <w:pStyle w:val="IntenseQuote"/>
        <w:spacing w:before="0" w:after="0"/>
        <w:ind w:left="-284" w:right="0"/>
        <w:rPr>
          <w:i w:val="0"/>
          <w:color w:val="000000" w:themeColor="text1"/>
          <w:sz w:val="20"/>
          <w:szCs w:val="20"/>
        </w:rPr>
      </w:pPr>
      <w:r w:rsidRPr="00EA7592">
        <w:rPr>
          <w:color w:val="2E74B5" w:themeColor="accent1" w:themeShade="BF"/>
          <w:sz w:val="20"/>
          <w:szCs w:val="20"/>
        </w:rPr>
        <w:t xml:space="preserve">Morton’s neuroma </w:t>
      </w:r>
      <w:r w:rsidR="004148D3" w:rsidRPr="00EA7592">
        <w:rPr>
          <w:color w:val="2E74B5" w:themeColor="accent1" w:themeShade="BF"/>
          <w:sz w:val="20"/>
          <w:szCs w:val="20"/>
        </w:rPr>
        <w:t>has often been</w:t>
      </w:r>
      <w:r w:rsidRPr="00EA7592">
        <w:rPr>
          <w:color w:val="2E74B5" w:themeColor="accent1" w:themeShade="BF"/>
          <w:sz w:val="20"/>
          <w:szCs w:val="20"/>
        </w:rPr>
        <w:t xml:space="preserve"> recorded incorrectly as a disease. It is not. The condition is a reactive change to a digital nerve brought about by localised damage and pathological changes that take a period of time to manifest with symptoms sufficient to cause concern.</w:t>
      </w:r>
      <w:r w:rsidRPr="00EA7592">
        <w:rPr>
          <w:i w:val="0"/>
          <w:color w:val="2E74B5" w:themeColor="accent1" w:themeShade="BF"/>
          <w:sz w:val="20"/>
          <w:szCs w:val="20"/>
        </w:rPr>
        <w:t xml:space="preserve"> </w:t>
      </w:r>
      <w:r w:rsidR="00CD5841" w:rsidRPr="001F5075">
        <w:rPr>
          <w:i w:val="0"/>
          <w:color w:val="000000" w:themeColor="text1"/>
          <w:sz w:val="20"/>
          <w:szCs w:val="20"/>
        </w:rPr>
        <w:t>(Author)</w:t>
      </w:r>
    </w:p>
    <w:p w14:paraId="11B55814" w14:textId="57934700" w:rsidR="00FC714A" w:rsidRPr="00456BF1" w:rsidRDefault="004148D3" w:rsidP="00FB7AC1">
      <w:pPr>
        <w:ind w:left="-284"/>
        <w:rPr>
          <w:sz w:val="22"/>
        </w:rPr>
      </w:pPr>
      <w:r>
        <w:rPr>
          <w:noProof/>
          <w:lang w:eastAsia="en-GB"/>
        </w:rPr>
        <mc:AlternateContent>
          <mc:Choice Requires="wps">
            <w:drawing>
              <wp:anchor distT="0" distB="0" distL="114300" distR="114300" simplePos="0" relativeHeight="251659264" behindDoc="0" locked="0" layoutInCell="1" allowOverlap="1" wp14:anchorId="7AD0CC64" wp14:editId="4044A88B">
                <wp:simplePos x="0" y="0"/>
                <wp:positionH relativeFrom="column">
                  <wp:posOffset>-1084521</wp:posOffset>
                </wp:positionH>
                <wp:positionV relativeFrom="paragraph">
                  <wp:posOffset>216535</wp:posOffset>
                </wp:positionV>
                <wp:extent cx="7765356" cy="2540"/>
                <wp:effectExtent l="0" t="25400" r="33020" b="48260"/>
                <wp:wrapNone/>
                <wp:docPr id="1" name="Straight Connector 1"/>
                <wp:cNvGraphicFramePr/>
                <a:graphic xmlns:a="http://schemas.openxmlformats.org/drawingml/2006/main">
                  <a:graphicData uri="http://schemas.microsoft.com/office/word/2010/wordprocessingShape">
                    <wps:wsp>
                      <wps:cNvCnPr/>
                      <wps:spPr>
                        <a:xfrm>
                          <a:off x="0" y="0"/>
                          <a:ext cx="7765356" cy="25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0A3B7F" id="Straight_x0020_Connector_x0020_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pt,17.05pt" to="526.05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" strokecolor="black [3213]" strokeweight="3pt">
                <v:stroke joinstyle="miter"/>
              </v:line>
            </w:pict>
          </mc:Fallback>
        </mc:AlternateContent>
      </w:r>
    </w:p>
    <w:p w14:paraId="5ED5D027" w14:textId="77777777" w:rsidR="00456BF1" w:rsidRDefault="00456BF1" w:rsidP="00FB7AC1">
      <w:pPr>
        <w:ind w:left="-284"/>
      </w:pPr>
    </w:p>
    <w:p w14:paraId="68206588" w14:textId="77777777" w:rsidR="004148D3" w:rsidRDefault="004148D3" w:rsidP="00FB7AC1">
      <w:pPr>
        <w:pStyle w:val="Heading1"/>
        <w:spacing w:before="0"/>
        <w:ind w:left="-284"/>
        <w:rPr>
          <w:b/>
          <w:sz w:val="24"/>
        </w:rPr>
        <w:sectPr w:rsidR="004148D3" w:rsidSect="00A7256D">
          <w:footerReference w:type="even" r:id="rId10"/>
          <w:footerReference w:type="default" r:id="rId11"/>
          <w:pgSz w:w="11900" w:h="16840"/>
          <w:pgMar w:top="425" w:right="709" w:bottom="1440" w:left="709" w:header="720" w:footer="720" w:gutter="0"/>
          <w:pgNumType w:start="33"/>
          <w:cols w:space="720"/>
          <w:docGrid w:linePitch="360"/>
        </w:sectPr>
      </w:pPr>
    </w:p>
    <w:p w14:paraId="52849613" w14:textId="62D3884A" w:rsidR="00DC5A59" w:rsidRPr="00342659" w:rsidRDefault="00C1297C" w:rsidP="00FB7AC1">
      <w:pPr>
        <w:pStyle w:val="Heading1"/>
        <w:spacing w:before="0"/>
        <w:ind w:left="-284"/>
        <w:rPr>
          <w:rFonts w:asciiTheme="minorHAnsi" w:hAnsiTheme="minorHAnsi"/>
          <w:b/>
          <w:color w:val="000000" w:themeColor="text1"/>
          <w:sz w:val="28"/>
        </w:rPr>
      </w:pPr>
      <w:r w:rsidRPr="00342659">
        <w:rPr>
          <w:rFonts w:asciiTheme="minorHAnsi" w:hAnsiTheme="minorHAnsi"/>
          <w:b/>
          <w:color w:val="000000" w:themeColor="text1"/>
          <w:sz w:val="28"/>
        </w:rPr>
        <w:lastRenderedPageBreak/>
        <w:t>B</w:t>
      </w:r>
      <w:r w:rsidR="00B0291E" w:rsidRPr="00342659">
        <w:rPr>
          <w:rFonts w:asciiTheme="minorHAnsi" w:hAnsiTheme="minorHAnsi"/>
          <w:b/>
          <w:color w:val="000000" w:themeColor="text1"/>
          <w:sz w:val="28"/>
        </w:rPr>
        <w:t>ackground evide</w:t>
      </w:r>
      <w:r w:rsidRPr="00342659">
        <w:rPr>
          <w:rFonts w:asciiTheme="minorHAnsi" w:hAnsiTheme="minorHAnsi"/>
          <w:b/>
          <w:color w:val="000000" w:themeColor="text1"/>
          <w:sz w:val="28"/>
        </w:rPr>
        <w:t>nce</w:t>
      </w:r>
    </w:p>
    <w:p w14:paraId="73F75477" w14:textId="77777777" w:rsidR="004148D3" w:rsidRPr="004148D3" w:rsidRDefault="004148D3" w:rsidP="00FB7AC1">
      <w:pPr>
        <w:ind w:left="-284"/>
      </w:pPr>
    </w:p>
    <w:p w14:paraId="65F1185A" w14:textId="3432936A" w:rsidR="001F5075" w:rsidRDefault="00FC714A" w:rsidP="00FB7AC1">
      <w:pPr>
        <w:ind w:left="-284" w:firstLine="1004"/>
        <w:rPr>
          <w:sz w:val="20"/>
          <w:szCs w:val="22"/>
        </w:rPr>
      </w:pPr>
      <w:r w:rsidRPr="001F5075">
        <w:rPr>
          <w:sz w:val="20"/>
          <w:szCs w:val="22"/>
        </w:rPr>
        <w:t xml:space="preserve">It might be rather obvious but even when a diagnosis has been made, </w:t>
      </w:r>
      <w:r w:rsidR="005E4FCA" w:rsidRPr="001F5075">
        <w:rPr>
          <w:sz w:val="20"/>
          <w:szCs w:val="22"/>
        </w:rPr>
        <w:t xml:space="preserve">different </w:t>
      </w:r>
      <w:r w:rsidRPr="001F5075">
        <w:rPr>
          <w:sz w:val="20"/>
          <w:szCs w:val="22"/>
        </w:rPr>
        <w:t xml:space="preserve">treatments work better for some patients than others. </w:t>
      </w:r>
      <w:r w:rsidR="00893A18" w:rsidRPr="001F5075">
        <w:rPr>
          <w:sz w:val="20"/>
          <w:szCs w:val="22"/>
        </w:rPr>
        <w:t>When present</w:t>
      </w:r>
      <w:r w:rsidR="00A11205">
        <w:rPr>
          <w:sz w:val="20"/>
          <w:szCs w:val="22"/>
        </w:rPr>
        <w:t>ed</w:t>
      </w:r>
      <w:r w:rsidR="00893A18" w:rsidRPr="001F5075">
        <w:rPr>
          <w:sz w:val="20"/>
          <w:szCs w:val="22"/>
        </w:rPr>
        <w:t xml:space="preserve"> with any </w:t>
      </w:r>
      <w:r w:rsidR="005E4FCA" w:rsidRPr="001F5075">
        <w:rPr>
          <w:sz w:val="20"/>
          <w:szCs w:val="22"/>
        </w:rPr>
        <w:t xml:space="preserve">foot </w:t>
      </w:r>
      <w:r w:rsidR="00893A18" w:rsidRPr="001F5075">
        <w:rPr>
          <w:sz w:val="20"/>
          <w:szCs w:val="22"/>
        </w:rPr>
        <w:t xml:space="preserve">problem several key questions should be asked, these include, what helps and what treatment have you had already, what makes it worse and of course how do you think this might have happened? A colleague told me </w:t>
      </w:r>
      <w:r w:rsidR="005E4FCA" w:rsidRPr="001F5075">
        <w:rPr>
          <w:sz w:val="20"/>
          <w:szCs w:val="22"/>
        </w:rPr>
        <w:t xml:space="preserve">that </w:t>
      </w:r>
      <w:r w:rsidR="00893A18" w:rsidRPr="001F5075">
        <w:rPr>
          <w:sz w:val="20"/>
          <w:szCs w:val="22"/>
        </w:rPr>
        <w:t xml:space="preserve">she believed patients with plantar digital neuroma went to podiatric or orthopaedic surgeons not podiatrists. This is not universal by any means and there are plenty of podiatrists able to do much to help patients with this painful crushing, cramping and shooting </w:t>
      </w:r>
      <w:r w:rsidR="005E4FCA" w:rsidRPr="001F5075">
        <w:rPr>
          <w:sz w:val="20"/>
          <w:szCs w:val="22"/>
        </w:rPr>
        <w:t>entity</w:t>
      </w:r>
      <w:r w:rsidR="00893A18" w:rsidRPr="001F5075">
        <w:rPr>
          <w:sz w:val="20"/>
          <w:szCs w:val="22"/>
        </w:rPr>
        <w:t xml:space="preserve"> associated with paraesthesia. </w:t>
      </w:r>
    </w:p>
    <w:p w14:paraId="6D402888" w14:textId="77777777" w:rsidR="001F5075" w:rsidRDefault="001F5075" w:rsidP="00FB7AC1">
      <w:pPr>
        <w:ind w:left="-284" w:firstLine="1004"/>
        <w:rPr>
          <w:sz w:val="20"/>
          <w:szCs w:val="22"/>
        </w:rPr>
      </w:pPr>
    </w:p>
    <w:p w14:paraId="33F8720B" w14:textId="340D488E" w:rsidR="00250A2A" w:rsidRDefault="00893A18" w:rsidP="001F5075">
      <w:pPr>
        <w:ind w:left="-284" w:firstLine="1004"/>
        <w:rPr>
          <w:sz w:val="20"/>
          <w:szCs w:val="22"/>
        </w:rPr>
      </w:pPr>
      <w:r w:rsidRPr="001F5075">
        <w:rPr>
          <w:sz w:val="20"/>
          <w:szCs w:val="22"/>
        </w:rPr>
        <w:t>There are two objectives be</w:t>
      </w:r>
      <w:r w:rsidR="005E4FCA" w:rsidRPr="001F5075">
        <w:rPr>
          <w:sz w:val="20"/>
          <w:szCs w:val="22"/>
        </w:rPr>
        <w:t>hind this article</w:t>
      </w:r>
      <w:r w:rsidRPr="001F5075">
        <w:rPr>
          <w:sz w:val="20"/>
          <w:szCs w:val="22"/>
        </w:rPr>
        <w:t xml:space="preserve">. Firstly, podiatrists should upskill </w:t>
      </w:r>
      <w:r w:rsidR="005E4FCA" w:rsidRPr="001F5075">
        <w:rPr>
          <w:sz w:val="20"/>
          <w:szCs w:val="22"/>
        </w:rPr>
        <w:t xml:space="preserve">and </w:t>
      </w:r>
      <w:r w:rsidR="00602C2B">
        <w:rPr>
          <w:sz w:val="20"/>
          <w:szCs w:val="22"/>
        </w:rPr>
        <w:t xml:space="preserve">aim to </w:t>
      </w:r>
      <w:r w:rsidRPr="001F5075">
        <w:rPr>
          <w:sz w:val="20"/>
          <w:szCs w:val="22"/>
        </w:rPr>
        <w:t>bring more effective care for neuroma</w:t>
      </w:r>
      <w:r w:rsidR="005E4FCA" w:rsidRPr="001F5075">
        <w:rPr>
          <w:sz w:val="20"/>
          <w:szCs w:val="22"/>
        </w:rPr>
        <w:t xml:space="preserve"> problems</w:t>
      </w:r>
      <w:r w:rsidRPr="001F5075">
        <w:rPr>
          <w:sz w:val="20"/>
          <w:szCs w:val="22"/>
        </w:rPr>
        <w:t>.</w:t>
      </w:r>
    </w:p>
    <w:p w14:paraId="5D36378B" w14:textId="77777777" w:rsidR="00250A2A" w:rsidRDefault="00250A2A" w:rsidP="001F5075">
      <w:pPr>
        <w:ind w:left="-284" w:firstLine="1004"/>
        <w:rPr>
          <w:sz w:val="20"/>
          <w:szCs w:val="22"/>
        </w:rPr>
      </w:pPr>
    </w:p>
    <w:p w14:paraId="38912686" w14:textId="6966AA24" w:rsidR="00D57FCD" w:rsidRPr="001F5075" w:rsidRDefault="00893A18" w:rsidP="001F5075">
      <w:pPr>
        <w:ind w:left="-284" w:firstLine="1004"/>
        <w:rPr>
          <w:sz w:val="20"/>
          <w:szCs w:val="22"/>
        </w:rPr>
      </w:pPr>
      <w:r w:rsidRPr="001F5075">
        <w:rPr>
          <w:sz w:val="20"/>
          <w:szCs w:val="22"/>
        </w:rPr>
        <w:t xml:space="preserve"> Secondly</w:t>
      </w:r>
      <w:r w:rsidR="005E4FCA" w:rsidRPr="001F5075">
        <w:rPr>
          <w:sz w:val="20"/>
          <w:szCs w:val="22"/>
        </w:rPr>
        <w:t>,</w:t>
      </w:r>
      <w:r w:rsidRPr="001F5075">
        <w:rPr>
          <w:sz w:val="20"/>
          <w:szCs w:val="22"/>
        </w:rPr>
        <w:t xml:space="preserve"> surgery is not guaranteed and for the surgeon</w:t>
      </w:r>
      <w:r w:rsidR="00FC714A" w:rsidRPr="001F5075">
        <w:rPr>
          <w:sz w:val="20"/>
          <w:szCs w:val="22"/>
        </w:rPr>
        <w:t>,</w:t>
      </w:r>
      <w:r w:rsidRPr="001F5075">
        <w:rPr>
          <w:sz w:val="20"/>
          <w:szCs w:val="22"/>
        </w:rPr>
        <w:t xml:space="preserve"> a dorsal approach, while bearing </w:t>
      </w:r>
      <w:r w:rsidRPr="001F5075">
        <w:rPr>
          <w:sz w:val="20"/>
          <w:szCs w:val="22"/>
        </w:rPr>
        <w:lastRenderedPageBreak/>
        <w:t xml:space="preserve">much merit </w:t>
      </w:r>
      <w:r w:rsidR="00DD62AB">
        <w:rPr>
          <w:sz w:val="20"/>
          <w:szCs w:val="22"/>
        </w:rPr>
        <w:t>has</w:t>
      </w:r>
      <w:r w:rsidRPr="001F5075">
        <w:rPr>
          <w:sz w:val="20"/>
          <w:szCs w:val="22"/>
        </w:rPr>
        <w:t xml:space="preserve"> an incidence of stump neuroma</w:t>
      </w:r>
      <w:r w:rsidR="005E4FCA" w:rsidRPr="001F5075">
        <w:rPr>
          <w:sz w:val="20"/>
          <w:szCs w:val="22"/>
        </w:rPr>
        <w:t xml:space="preserve"> for some 15% of patients</w:t>
      </w:r>
      <w:r w:rsidRPr="001F5075">
        <w:rPr>
          <w:sz w:val="20"/>
          <w:szCs w:val="22"/>
        </w:rPr>
        <w:t xml:space="preserve">. </w:t>
      </w:r>
      <w:r w:rsidR="00602C2B">
        <w:rPr>
          <w:sz w:val="20"/>
          <w:szCs w:val="22"/>
        </w:rPr>
        <w:t xml:space="preserve">The plantar approach is no more reliable, </w:t>
      </w:r>
      <w:r w:rsidR="00602C2B" w:rsidRPr="00602C2B">
        <w:rPr>
          <w:b/>
          <w:sz w:val="20"/>
          <w:szCs w:val="22"/>
        </w:rPr>
        <w:t>Akermark, C et al 2013, Habashy, A, 2016</w:t>
      </w:r>
      <w:r w:rsidR="00602C2B">
        <w:rPr>
          <w:sz w:val="20"/>
          <w:szCs w:val="22"/>
        </w:rPr>
        <w:t>.</w:t>
      </w:r>
    </w:p>
    <w:p w14:paraId="337FBE3E" w14:textId="77777777" w:rsidR="00D57FCD" w:rsidRPr="00D57FCD" w:rsidRDefault="00D57FCD" w:rsidP="00D57FCD"/>
    <w:p w14:paraId="73C97AEB" w14:textId="06164913" w:rsidR="00DC5A59" w:rsidRPr="00342659" w:rsidRDefault="00DC5A59" w:rsidP="00FB7AC1">
      <w:pPr>
        <w:pStyle w:val="Heading2"/>
        <w:spacing w:before="0"/>
        <w:ind w:left="-284"/>
        <w:rPr>
          <w:rFonts w:asciiTheme="minorHAnsi" w:hAnsiTheme="minorHAnsi"/>
          <w:b/>
          <w:color w:val="000000" w:themeColor="text1"/>
          <w:sz w:val="24"/>
          <w:szCs w:val="24"/>
        </w:rPr>
      </w:pPr>
      <w:r w:rsidRPr="00342659">
        <w:rPr>
          <w:rFonts w:asciiTheme="minorHAnsi" w:hAnsiTheme="minorHAnsi"/>
          <w:b/>
          <w:color w:val="000000" w:themeColor="text1"/>
          <w:sz w:val="24"/>
          <w:szCs w:val="24"/>
        </w:rPr>
        <w:t>Tests &amp; Investigations</w:t>
      </w:r>
    </w:p>
    <w:p w14:paraId="137D72CC" w14:textId="77777777" w:rsidR="00DC5A59" w:rsidRPr="00456BF1" w:rsidRDefault="00DC5A59" w:rsidP="00FB7AC1">
      <w:pPr>
        <w:ind w:left="-284"/>
      </w:pPr>
    </w:p>
    <w:p w14:paraId="467E2783" w14:textId="3BDC45C9" w:rsidR="00CD5841" w:rsidRDefault="00DC5A59" w:rsidP="00FB7AC1">
      <w:pPr>
        <w:ind w:left="-284" w:firstLine="1004"/>
        <w:rPr>
          <w:sz w:val="22"/>
          <w:szCs w:val="22"/>
        </w:rPr>
      </w:pPr>
      <w:r w:rsidRPr="001F5075">
        <w:rPr>
          <w:sz w:val="20"/>
          <w:szCs w:val="20"/>
        </w:rPr>
        <w:t xml:space="preserve">When seven clinical tests were carried out by </w:t>
      </w:r>
      <w:r w:rsidRPr="001F5075">
        <w:rPr>
          <w:b/>
          <w:sz w:val="20"/>
          <w:szCs w:val="20"/>
        </w:rPr>
        <w:t>Mahadevan</w:t>
      </w:r>
      <w:r w:rsidR="005E1B82" w:rsidRPr="001F5075">
        <w:rPr>
          <w:b/>
          <w:sz w:val="20"/>
          <w:szCs w:val="20"/>
        </w:rPr>
        <w:t xml:space="preserve"> et al</w:t>
      </w:r>
      <w:r w:rsidRPr="001F5075">
        <w:rPr>
          <w:b/>
          <w:sz w:val="20"/>
          <w:szCs w:val="20"/>
        </w:rPr>
        <w:t xml:space="preserve"> (2015)</w:t>
      </w:r>
      <w:r w:rsidRPr="001F5075">
        <w:rPr>
          <w:sz w:val="20"/>
          <w:szCs w:val="20"/>
        </w:rPr>
        <w:t xml:space="preserve"> he identified the thumb and forefinger compression test within the web space as being most reliable with a 96% </w:t>
      </w:r>
      <w:hyperlink w:anchor="SPC" w:history="1">
        <w:r w:rsidRPr="001F5075">
          <w:rPr>
            <w:rStyle w:val="Hyperlink"/>
            <w:sz w:val="20"/>
            <w:szCs w:val="20"/>
          </w:rPr>
          <w:t>sensitivity</w:t>
        </w:r>
      </w:hyperlink>
      <w:r w:rsidRPr="001F5075">
        <w:rPr>
          <w:sz w:val="20"/>
          <w:szCs w:val="20"/>
        </w:rPr>
        <w:t xml:space="preserve">. </w:t>
      </w:r>
      <w:r w:rsidRPr="001F5075">
        <w:rPr>
          <w:b/>
          <w:sz w:val="20"/>
          <w:szCs w:val="20"/>
        </w:rPr>
        <w:t>Mallina</w:t>
      </w:r>
      <w:r w:rsidR="005E1B82" w:rsidRPr="001F5075">
        <w:rPr>
          <w:b/>
          <w:sz w:val="20"/>
          <w:szCs w:val="20"/>
        </w:rPr>
        <w:t xml:space="preserve"> et al</w:t>
      </w:r>
      <w:r w:rsidRPr="001F5075">
        <w:rPr>
          <w:b/>
          <w:sz w:val="20"/>
          <w:szCs w:val="20"/>
        </w:rPr>
        <w:t xml:space="preserve"> (2016)</w:t>
      </w:r>
      <w:r w:rsidRPr="001F5075">
        <w:rPr>
          <w:sz w:val="20"/>
          <w:szCs w:val="20"/>
        </w:rPr>
        <w:t xml:space="preserve"> suggested that taking routine samples for histology was not required and had an economic disadvantage. The reliance on clinical examination and its value has been considered</w:t>
      </w:r>
      <w:r w:rsidR="002F606F" w:rsidRPr="001F5075">
        <w:rPr>
          <w:sz w:val="20"/>
          <w:szCs w:val="20"/>
        </w:rPr>
        <w:t xml:space="preserve"> significantly reliable to reach a diagnosis without ultrasound in the first case</w:t>
      </w:r>
      <w:r w:rsidRPr="001F5075">
        <w:rPr>
          <w:sz w:val="20"/>
          <w:szCs w:val="20"/>
        </w:rPr>
        <w:t>.</w:t>
      </w:r>
      <w:r w:rsidRPr="00B0291E">
        <w:rPr>
          <w:sz w:val="22"/>
          <w:szCs w:val="22"/>
        </w:rPr>
        <w:t xml:space="preserve"> </w:t>
      </w:r>
    </w:p>
    <w:p w14:paraId="3E021095" w14:textId="77777777" w:rsidR="00CD5841" w:rsidRDefault="00CD5841" w:rsidP="00FB7AC1">
      <w:pPr>
        <w:ind w:left="-284"/>
        <w:rPr>
          <w:sz w:val="22"/>
          <w:szCs w:val="22"/>
        </w:rPr>
      </w:pPr>
    </w:p>
    <w:p w14:paraId="4442064C" w14:textId="3889550F" w:rsidR="00250A2A" w:rsidRPr="00250A2A" w:rsidRDefault="00CD5841" w:rsidP="00250A2A">
      <w:pPr>
        <w:pStyle w:val="IntenseQuote"/>
        <w:spacing w:before="0" w:after="0"/>
        <w:ind w:left="-284" w:right="0"/>
        <w:rPr>
          <w:i w:val="0"/>
          <w:sz w:val="20"/>
        </w:rPr>
      </w:pPr>
      <w:r w:rsidRPr="001F5075">
        <w:rPr>
          <w:i w:val="0"/>
          <w:sz w:val="20"/>
        </w:rPr>
        <w:t>compression tests are better than percussion or sensory tests</w:t>
      </w:r>
    </w:p>
    <w:p w14:paraId="229A1FCA" w14:textId="77777777" w:rsidR="00602C2B" w:rsidRDefault="00602C2B" w:rsidP="00FB7AC1">
      <w:pPr>
        <w:ind w:left="-284" w:firstLine="1004"/>
        <w:rPr>
          <w:b/>
          <w:sz w:val="20"/>
          <w:szCs w:val="20"/>
        </w:rPr>
      </w:pPr>
    </w:p>
    <w:p w14:paraId="0C6E06DD" w14:textId="4358FDF6" w:rsidR="00D57FCD" w:rsidRPr="001F5075" w:rsidRDefault="00DC5A59" w:rsidP="00FB7AC1">
      <w:pPr>
        <w:ind w:left="-284" w:firstLine="1004"/>
        <w:rPr>
          <w:sz w:val="20"/>
          <w:szCs w:val="20"/>
        </w:rPr>
      </w:pPr>
      <w:r w:rsidRPr="001F5075">
        <w:rPr>
          <w:b/>
          <w:sz w:val="20"/>
          <w:szCs w:val="20"/>
        </w:rPr>
        <w:lastRenderedPageBreak/>
        <w:t>Pastides</w:t>
      </w:r>
      <w:r w:rsidR="005E1B82" w:rsidRPr="001F5075">
        <w:rPr>
          <w:b/>
          <w:sz w:val="20"/>
          <w:szCs w:val="20"/>
        </w:rPr>
        <w:t xml:space="preserve"> et al</w:t>
      </w:r>
      <w:r w:rsidRPr="001F5075">
        <w:rPr>
          <w:b/>
          <w:sz w:val="20"/>
          <w:szCs w:val="20"/>
        </w:rPr>
        <w:t xml:space="preserve"> (2012)</w:t>
      </w:r>
      <w:r w:rsidRPr="001F5075">
        <w:rPr>
          <w:sz w:val="20"/>
          <w:szCs w:val="20"/>
        </w:rPr>
        <w:t xml:space="preserve"> found ultrasound </w:t>
      </w:r>
      <w:r w:rsidR="005E1B82" w:rsidRPr="001F5075">
        <w:rPr>
          <w:sz w:val="20"/>
          <w:szCs w:val="20"/>
        </w:rPr>
        <w:t xml:space="preserve">(US) </w:t>
      </w:r>
      <w:r w:rsidRPr="001F5075">
        <w:rPr>
          <w:sz w:val="20"/>
          <w:szCs w:val="20"/>
        </w:rPr>
        <w:t>to be more sensitive than</w:t>
      </w:r>
      <w:r w:rsidR="005E1B82" w:rsidRPr="001F5075">
        <w:rPr>
          <w:sz w:val="20"/>
          <w:szCs w:val="20"/>
        </w:rPr>
        <w:t xml:space="preserve"> magnetic resonance imaging (</w:t>
      </w:r>
      <w:r w:rsidRPr="001F5075">
        <w:rPr>
          <w:sz w:val="20"/>
          <w:szCs w:val="20"/>
        </w:rPr>
        <w:t>MRI</w:t>
      </w:r>
      <w:r w:rsidR="005E1B82" w:rsidRPr="001F5075">
        <w:rPr>
          <w:sz w:val="20"/>
          <w:szCs w:val="20"/>
        </w:rPr>
        <w:t>)</w:t>
      </w:r>
      <w:r w:rsidR="002F606F" w:rsidRPr="001F5075">
        <w:rPr>
          <w:sz w:val="20"/>
          <w:szCs w:val="20"/>
        </w:rPr>
        <w:t>,</w:t>
      </w:r>
      <w:r w:rsidRPr="001F5075">
        <w:rPr>
          <w:sz w:val="20"/>
          <w:szCs w:val="20"/>
        </w:rPr>
        <w:t xml:space="preserve"> 90% to 88% respectively. </w:t>
      </w:r>
      <w:r w:rsidRPr="001F5075">
        <w:rPr>
          <w:b/>
          <w:sz w:val="20"/>
          <w:szCs w:val="20"/>
        </w:rPr>
        <w:t xml:space="preserve">Bignotti </w:t>
      </w:r>
      <w:r w:rsidR="005E1B82" w:rsidRPr="001F5075">
        <w:rPr>
          <w:b/>
          <w:sz w:val="20"/>
          <w:szCs w:val="20"/>
        </w:rPr>
        <w:t xml:space="preserve">et al </w:t>
      </w:r>
      <w:r w:rsidRPr="001F5075">
        <w:rPr>
          <w:b/>
          <w:sz w:val="20"/>
          <w:szCs w:val="20"/>
        </w:rPr>
        <w:t>(2015)</w:t>
      </w:r>
      <w:r w:rsidRPr="001F5075">
        <w:rPr>
          <w:sz w:val="20"/>
          <w:szCs w:val="20"/>
        </w:rPr>
        <w:t xml:space="preserve"> c</w:t>
      </w:r>
      <w:r w:rsidR="00320143" w:rsidRPr="001F5075">
        <w:rPr>
          <w:sz w:val="20"/>
          <w:szCs w:val="20"/>
        </w:rPr>
        <w:t xml:space="preserve">arried out </w:t>
      </w:r>
      <w:r w:rsidRPr="001F5075">
        <w:rPr>
          <w:sz w:val="20"/>
          <w:szCs w:val="20"/>
        </w:rPr>
        <w:t xml:space="preserve">a meta-analysis using 277 studies finding </w:t>
      </w:r>
      <w:r w:rsidR="005E1B82" w:rsidRPr="001F5075">
        <w:rPr>
          <w:sz w:val="20"/>
          <w:szCs w:val="20"/>
        </w:rPr>
        <w:t xml:space="preserve">14 of value, concluding that there was little difference between MRI and US. </w:t>
      </w:r>
      <w:r w:rsidR="005E1B82" w:rsidRPr="001F5075">
        <w:rPr>
          <w:b/>
          <w:sz w:val="20"/>
          <w:szCs w:val="20"/>
        </w:rPr>
        <w:t>Xu et al</w:t>
      </w:r>
      <w:r w:rsidR="005E1B82" w:rsidRPr="001F5075">
        <w:rPr>
          <w:sz w:val="20"/>
          <w:szCs w:val="20"/>
        </w:rPr>
        <w:t xml:space="preserve"> (2015) found US more sensitive</w:t>
      </w:r>
      <w:r w:rsidR="00320143" w:rsidRPr="001F5075">
        <w:rPr>
          <w:sz w:val="20"/>
          <w:szCs w:val="20"/>
        </w:rPr>
        <w:t xml:space="preserve"> and </w:t>
      </w:r>
      <w:r w:rsidR="00320143" w:rsidRPr="001F5075">
        <w:rPr>
          <w:b/>
          <w:sz w:val="20"/>
          <w:szCs w:val="20"/>
        </w:rPr>
        <w:t>Claassen (2014)</w:t>
      </w:r>
      <w:r w:rsidR="00320143" w:rsidRPr="001F5075">
        <w:rPr>
          <w:sz w:val="20"/>
          <w:szCs w:val="20"/>
        </w:rPr>
        <w:t xml:space="preserve"> took a more supportive view of MRI</w:t>
      </w:r>
      <w:r w:rsidR="005E1B82" w:rsidRPr="001F5075">
        <w:rPr>
          <w:sz w:val="20"/>
          <w:szCs w:val="20"/>
        </w:rPr>
        <w:t xml:space="preserve">. Given the cost, the equipment space, reliability and discomfiture of noisy environments, as with MRI, US comes out as the preferred tool. </w:t>
      </w:r>
      <w:r w:rsidR="005E1B82" w:rsidRPr="00E52386">
        <w:rPr>
          <w:sz w:val="20"/>
          <w:szCs w:val="20"/>
        </w:rPr>
        <w:t>However</w:t>
      </w:r>
      <w:r w:rsidR="005E1B82" w:rsidRPr="001F5075">
        <w:rPr>
          <w:sz w:val="20"/>
          <w:szCs w:val="20"/>
        </w:rPr>
        <w:t>, Mahadevan and Pastides consider</w:t>
      </w:r>
      <w:r w:rsidR="00CA5C2A">
        <w:rPr>
          <w:sz w:val="20"/>
          <w:szCs w:val="20"/>
        </w:rPr>
        <w:t>ed</w:t>
      </w:r>
      <w:r w:rsidR="005E1B82" w:rsidRPr="001F5075">
        <w:rPr>
          <w:sz w:val="20"/>
          <w:szCs w:val="20"/>
        </w:rPr>
        <w:t xml:space="preserve"> that clinical tests </w:t>
      </w:r>
      <w:r w:rsidR="00E52386">
        <w:rPr>
          <w:sz w:val="20"/>
          <w:szCs w:val="20"/>
        </w:rPr>
        <w:t>were</w:t>
      </w:r>
      <w:r w:rsidR="005E1B82" w:rsidRPr="001F5075">
        <w:rPr>
          <w:sz w:val="20"/>
          <w:szCs w:val="20"/>
        </w:rPr>
        <w:t xml:space="preserve"> just as reliable </w:t>
      </w:r>
      <w:r w:rsidR="00320143" w:rsidRPr="001F5075">
        <w:rPr>
          <w:sz w:val="20"/>
          <w:szCs w:val="20"/>
        </w:rPr>
        <w:t xml:space="preserve">as imaging </w:t>
      </w:r>
      <w:r w:rsidR="005E1B82" w:rsidRPr="001F5075">
        <w:rPr>
          <w:sz w:val="20"/>
          <w:szCs w:val="20"/>
        </w:rPr>
        <w:t xml:space="preserve">but Pastides put the Mulder’s click at 98% sensitive. </w:t>
      </w:r>
    </w:p>
    <w:p w14:paraId="62093966" w14:textId="2510EF85" w:rsidR="00DC5A59" w:rsidRPr="001F5075" w:rsidRDefault="005E1B82" w:rsidP="00FB7AC1">
      <w:pPr>
        <w:ind w:left="-284" w:firstLine="1004"/>
        <w:rPr>
          <w:sz w:val="20"/>
          <w:szCs w:val="20"/>
        </w:rPr>
      </w:pPr>
      <w:r w:rsidRPr="001F5075">
        <w:rPr>
          <w:sz w:val="20"/>
          <w:szCs w:val="20"/>
        </w:rPr>
        <w:t>Any disagreement can be forgiven as these two workers</w:t>
      </w:r>
      <w:r w:rsidR="00320143" w:rsidRPr="001F5075">
        <w:rPr>
          <w:sz w:val="20"/>
          <w:szCs w:val="20"/>
        </w:rPr>
        <w:t>,</w:t>
      </w:r>
      <w:r w:rsidRPr="001F5075">
        <w:rPr>
          <w:sz w:val="20"/>
          <w:szCs w:val="20"/>
        </w:rPr>
        <w:t xml:space="preserve"> one from Leicester, one from London had different population groups although similar cohort sizes. </w:t>
      </w:r>
    </w:p>
    <w:p w14:paraId="6E664EF2" w14:textId="77777777" w:rsidR="005E1B82" w:rsidRDefault="005E1B82" w:rsidP="00FB7AC1">
      <w:pPr>
        <w:ind w:left="-284"/>
      </w:pPr>
    </w:p>
    <w:p w14:paraId="6C928DD6" w14:textId="4D583657" w:rsidR="005E1B82" w:rsidRPr="00342659" w:rsidRDefault="005E1B82" w:rsidP="00FB7AC1">
      <w:pPr>
        <w:pStyle w:val="Heading2"/>
        <w:spacing w:before="0"/>
        <w:ind w:left="-284"/>
        <w:rPr>
          <w:rFonts w:asciiTheme="minorHAnsi" w:hAnsiTheme="minorHAnsi"/>
          <w:b/>
          <w:color w:val="000000" w:themeColor="text1"/>
          <w:sz w:val="28"/>
          <w:szCs w:val="22"/>
        </w:rPr>
      </w:pPr>
      <w:r w:rsidRPr="00342659">
        <w:rPr>
          <w:rFonts w:asciiTheme="minorHAnsi" w:hAnsiTheme="minorHAnsi"/>
          <w:b/>
          <w:color w:val="000000" w:themeColor="text1"/>
          <w:sz w:val="28"/>
          <w:szCs w:val="22"/>
        </w:rPr>
        <w:t>Size of neuroma</w:t>
      </w:r>
    </w:p>
    <w:p w14:paraId="4C297B26" w14:textId="77777777" w:rsidR="005E1B82" w:rsidRPr="00B0291E" w:rsidRDefault="005E1B82" w:rsidP="00FB7AC1">
      <w:pPr>
        <w:ind w:left="-284"/>
        <w:rPr>
          <w:sz w:val="22"/>
          <w:szCs w:val="22"/>
        </w:rPr>
      </w:pPr>
    </w:p>
    <w:p w14:paraId="54147584" w14:textId="1C283795" w:rsidR="00DD62AB" w:rsidRDefault="005E1B82" w:rsidP="00FB7AC1">
      <w:pPr>
        <w:ind w:left="-284" w:firstLine="1004"/>
        <w:rPr>
          <w:sz w:val="20"/>
          <w:szCs w:val="22"/>
        </w:rPr>
      </w:pPr>
      <w:r w:rsidRPr="001F5075">
        <w:rPr>
          <w:sz w:val="20"/>
          <w:szCs w:val="22"/>
        </w:rPr>
        <w:t xml:space="preserve">We are left with the fact that compression tests are better than percussion or sensory tests, but of course what is often missed is the size of the lesion. Both MRI and US can measure neuroma and it is often this element that is attractive to </w:t>
      </w:r>
      <w:r w:rsidR="00DD62AB">
        <w:rPr>
          <w:sz w:val="20"/>
          <w:szCs w:val="22"/>
        </w:rPr>
        <w:t>establish a positive diagnosis</w:t>
      </w:r>
      <w:r w:rsidRPr="001F5075">
        <w:rPr>
          <w:sz w:val="20"/>
          <w:szCs w:val="22"/>
        </w:rPr>
        <w:t xml:space="preserve">. </w:t>
      </w:r>
      <w:r w:rsidRPr="001F5075">
        <w:rPr>
          <w:b/>
          <w:sz w:val="20"/>
          <w:szCs w:val="22"/>
        </w:rPr>
        <w:t>Mahadevan (2016)</w:t>
      </w:r>
      <w:r w:rsidRPr="001F5075">
        <w:rPr>
          <w:sz w:val="20"/>
          <w:szCs w:val="22"/>
        </w:rPr>
        <w:t xml:space="preserve"> in a later paper studied size and found some lesions could measure 10mm </w:t>
      </w:r>
      <w:r w:rsidR="00320143" w:rsidRPr="001F5075">
        <w:rPr>
          <w:sz w:val="20"/>
          <w:szCs w:val="22"/>
        </w:rPr>
        <w:t>without</w:t>
      </w:r>
      <w:r w:rsidRPr="001F5075">
        <w:rPr>
          <w:sz w:val="20"/>
          <w:szCs w:val="22"/>
        </w:rPr>
        <w:t xml:space="preserve"> discomfort</w:t>
      </w:r>
      <w:r w:rsidR="00DD62AB">
        <w:rPr>
          <w:sz w:val="20"/>
          <w:szCs w:val="22"/>
        </w:rPr>
        <w:t xml:space="preserve"> giving credence to the fact that size alone is not diagnostic</w:t>
      </w:r>
      <w:r w:rsidRPr="001F5075">
        <w:rPr>
          <w:sz w:val="20"/>
          <w:szCs w:val="22"/>
        </w:rPr>
        <w:t xml:space="preserve">. </w:t>
      </w:r>
      <w:r w:rsidR="00602C2B">
        <w:rPr>
          <w:sz w:val="20"/>
          <w:szCs w:val="22"/>
        </w:rPr>
        <w:t>Bencardino, J 2000 indicates that 33% of MRI investigations demonstrated lesions without symptoms.</w:t>
      </w:r>
    </w:p>
    <w:p w14:paraId="3600C711" w14:textId="77777777" w:rsidR="00DD62AB" w:rsidRDefault="00DD62AB" w:rsidP="00FB7AC1">
      <w:pPr>
        <w:ind w:left="-284" w:firstLine="1004"/>
        <w:rPr>
          <w:sz w:val="20"/>
          <w:szCs w:val="22"/>
        </w:rPr>
      </w:pPr>
    </w:p>
    <w:p w14:paraId="4D9306B5" w14:textId="62958C4D" w:rsidR="00CD5841" w:rsidRPr="00DD62AB" w:rsidRDefault="005E1B82" w:rsidP="00FB7AC1">
      <w:pPr>
        <w:ind w:left="-284" w:firstLine="1004"/>
        <w:rPr>
          <w:sz w:val="20"/>
          <w:szCs w:val="20"/>
        </w:rPr>
      </w:pPr>
      <w:r w:rsidRPr="001F5075">
        <w:rPr>
          <w:sz w:val="20"/>
          <w:szCs w:val="22"/>
        </w:rPr>
        <w:t>It may well be that podiatrists find neuroma type presentations</w:t>
      </w:r>
      <w:r w:rsidR="00C448C8" w:rsidRPr="001F5075">
        <w:rPr>
          <w:sz w:val="20"/>
          <w:szCs w:val="22"/>
        </w:rPr>
        <w:t xml:space="preserve"> when undertaking their own screening where symptoms do not arise</w:t>
      </w:r>
      <w:r w:rsidRPr="001F5075">
        <w:rPr>
          <w:sz w:val="20"/>
          <w:szCs w:val="22"/>
        </w:rPr>
        <w:t>. The ovoid hyp</w:t>
      </w:r>
      <w:r w:rsidR="00D57FCD" w:rsidRPr="001F5075">
        <w:rPr>
          <w:sz w:val="20"/>
          <w:szCs w:val="22"/>
        </w:rPr>
        <w:t>o</w:t>
      </w:r>
      <w:r w:rsidRPr="001F5075">
        <w:rPr>
          <w:sz w:val="20"/>
          <w:szCs w:val="22"/>
        </w:rPr>
        <w:t xml:space="preserve">echoic </w:t>
      </w:r>
      <w:r w:rsidR="00D57FCD" w:rsidRPr="001F5075">
        <w:rPr>
          <w:sz w:val="20"/>
          <w:szCs w:val="22"/>
        </w:rPr>
        <w:t xml:space="preserve">(darker area) </w:t>
      </w:r>
      <w:r w:rsidRPr="001F5075">
        <w:rPr>
          <w:sz w:val="20"/>
          <w:szCs w:val="22"/>
        </w:rPr>
        <w:t xml:space="preserve">presentation is best visualised on dynamic </w:t>
      </w:r>
      <w:r w:rsidR="00C448C8" w:rsidRPr="001F5075">
        <w:rPr>
          <w:sz w:val="20"/>
          <w:szCs w:val="22"/>
        </w:rPr>
        <w:t>screening w</w:t>
      </w:r>
      <w:r w:rsidR="00320143" w:rsidRPr="001F5075">
        <w:rPr>
          <w:sz w:val="20"/>
          <w:szCs w:val="22"/>
        </w:rPr>
        <w:t>ith</w:t>
      </w:r>
      <w:r w:rsidR="00C448C8" w:rsidRPr="001F5075">
        <w:rPr>
          <w:sz w:val="20"/>
          <w:szCs w:val="22"/>
        </w:rPr>
        <w:t xml:space="preserve"> US static views being less helpful. The positioning </w:t>
      </w:r>
      <w:r w:rsidR="00C448C8" w:rsidRPr="00DD62AB">
        <w:rPr>
          <w:sz w:val="20"/>
          <w:szCs w:val="20"/>
        </w:rPr>
        <w:t xml:space="preserve">of the probe and patient foot also carries some variability </w:t>
      </w:r>
      <w:r w:rsidR="00D57FCD" w:rsidRPr="00DD62AB">
        <w:rPr>
          <w:sz w:val="20"/>
          <w:szCs w:val="20"/>
        </w:rPr>
        <w:t xml:space="preserve">between </w:t>
      </w:r>
      <w:r w:rsidR="00C448C8" w:rsidRPr="00DD62AB">
        <w:rPr>
          <w:sz w:val="20"/>
          <w:szCs w:val="20"/>
        </w:rPr>
        <w:t xml:space="preserve">prone, lateral or supine. </w:t>
      </w:r>
      <w:r w:rsidR="00DD62AB">
        <w:rPr>
          <w:sz w:val="20"/>
          <w:szCs w:val="20"/>
        </w:rPr>
        <w:t>This means size may not be wholly accurate or uniform between observers.</w:t>
      </w:r>
    </w:p>
    <w:p w14:paraId="7D5246EC" w14:textId="77777777" w:rsidR="00DD62AB" w:rsidRDefault="00DD62AB" w:rsidP="00FB7AC1">
      <w:pPr>
        <w:pStyle w:val="Heading2"/>
        <w:spacing w:before="0"/>
        <w:ind w:left="-284"/>
        <w:rPr>
          <w:rFonts w:asciiTheme="minorHAnsi" w:hAnsiTheme="minorHAnsi"/>
          <w:b/>
          <w:color w:val="000000" w:themeColor="text1"/>
          <w:sz w:val="24"/>
        </w:rPr>
      </w:pPr>
    </w:p>
    <w:p w14:paraId="1E344270" w14:textId="5877D59A" w:rsidR="00DD62AB" w:rsidRPr="00DD62AB" w:rsidRDefault="00C448C8" w:rsidP="00DD62AB">
      <w:pPr>
        <w:pStyle w:val="Heading2"/>
        <w:spacing w:before="0"/>
        <w:ind w:left="-284"/>
        <w:rPr>
          <w:rFonts w:asciiTheme="minorHAnsi" w:hAnsiTheme="minorHAnsi"/>
          <w:b/>
          <w:color w:val="000000" w:themeColor="text1"/>
          <w:sz w:val="21"/>
        </w:rPr>
      </w:pPr>
      <w:r w:rsidRPr="00342659">
        <w:rPr>
          <w:rFonts w:asciiTheme="minorHAnsi" w:hAnsiTheme="minorHAnsi"/>
          <w:b/>
          <w:color w:val="000000" w:themeColor="text1"/>
          <w:sz w:val="24"/>
        </w:rPr>
        <w:t>Location</w:t>
      </w:r>
    </w:p>
    <w:p w14:paraId="0AEBF1C3" w14:textId="6BFD5E79" w:rsidR="00DD62AB" w:rsidRDefault="00C448C8" w:rsidP="00D57FCD">
      <w:pPr>
        <w:ind w:left="-284" w:firstLine="1004"/>
        <w:rPr>
          <w:sz w:val="20"/>
          <w:szCs w:val="22"/>
        </w:rPr>
      </w:pPr>
      <w:r w:rsidRPr="001F5075">
        <w:rPr>
          <w:sz w:val="20"/>
          <w:szCs w:val="22"/>
        </w:rPr>
        <w:t>Most papers that discuss neuroma will talk abo</w:t>
      </w:r>
      <w:r w:rsidR="009A187E">
        <w:rPr>
          <w:sz w:val="20"/>
          <w:szCs w:val="22"/>
        </w:rPr>
        <w:t xml:space="preserve">ut the location and whether one </w:t>
      </w:r>
      <w:r w:rsidR="00320143" w:rsidRPr="001F5075">
        <w:rPr>
          <w:sz w:val="20"/>
          <w:szCs w:val="22"/>
        </w:rPr>
        <w:t xml:space="preserve">intermetatarsal space </w:t>
      </w:r>
      <w:r w:rsidRPr="001F5075">
        <w:rPr>
          <w:sz w:val="20"/>
          <w:szCs w:val="22"/>
        </w:rPr>
        <w:t xml:space="preserve">or more </w:t>
      </w:r>
      <w:r w:rsidR="00320143" w:rsidRPr="001F5075">
        <w:rPr>
          <w:sz w:val="20"/>
          <w:szCs w:val="22"/>
        </w:rPr>
        <w:t>are</w:t>
      </w:r>
      <w:r w:rsidRPr="001F5075">
        <w:rPr>
          <w:sz w:val="20"/>
          <w:szCs w:val="22"/>
        </w:rPr>
        <w:t xml:space="preserve"> involved</w:t>
      </w:r>
      <w:r w:rsidR="00320143" w:rsidRPr="001F5075">
        <w:rPr>
          <w:sz w:val="20"/>
          <w:szCs w:val="22"/>
        </w:rPr>
        <w:t>,</w:t>
      </w:r>
      <w:r w:rsidRPr="001F5075">
        <w:rPr>
          <w:sz w:val="20"/>
          <w:szCs w:val="22"/>
        </w:rPr>
        <w:t xml:space="preserve"> or whether it is bilateral or unilateral foot presentation. </w:t>
      </w:r>
    </w:p>
    <w:p w14:paraId="47F2EE4B" w14:textId="77777777" w:rsidR="00DD62AB" w:rsidRDefault="00DD62AB" w:rsidP="00D57FCD">
      <w:pPr>
        <w:ind w:left="-284" w:firstLine="1004"/>
        <w:rPr>
          <w:sz w:val="20"/>
          <w:szCs w:val="22"/>
        </w:rPr>
      </w:pPr>
    </w:p>
    <w:p w14:paraId="47B1060B" w14:textId="6D829F5E" w:rsidR="009A187E" w:rsidRDefault="00C448C8" w:rsidP="00D57FCD">
      <w:pPr>
        <w:ind w:left="-284" w:firstLine="1004"/>
        <w:rPr>
          <w:sz w:val="20"/>
          <w:szCs w:val="22"/>
        </w:rPr>
      </w:pPr>
      <w:r w:rsidRPr="001F5075">
        <w:rPr>
          <w:sz w:val="20"/>
          <w:szCs w:val="22"/>
        </w:rPr>
        <w:t xml:space="preserve">In an early </w:t>
      </w:r>
      <w:r w:rsidR="00D57FCD" w:rsidRPr="001F5075">
        <w:rPr>
          <w:sz w:val="20"/>
          <w:szCs w:val="22"/>
        </w:rPr>
        <w:t xml:space="preserve">podiatry case </w:t>
      </w:r>
      <w:r w:rsidRPr="001F5075">
        <w:rPr>
          <w:sz w:val="20"/>
          <w:szCs w:val="22"/>
        </w:rPr>
        <w:t>study</w:t>
      </w:r>
      <w:r w:rsidR="00320143" w:rsidRPr="001F5075">
        <w:rPr>
          <w:sz w:val="20"/>
          <w:szCs w:val="22"/>
        </w:rPr>
        <w:t>,</w:t>
      </w:r>
      <w:r w:rsidRPr="001F5075">
        <w:rPr>
          <w:sz w:val="20"/>
          <w:szCs w:val="22"/>
        </w:rPr>
        <w:t xml:space="preserve"> </w:t>
      </w:r>
      <w:r w:rsidRPr="001F5075">
        <w:rPr>
          <w:b/>
          <w:sz w:val="20"/>
          <w:szCs w:val="22"/>
        </w:rPr>
        <w:t>Robinson</w:t>
      </w:r>
      <w:r w:rsidR="00E423D5" w:rsidRPr="001F5075">
        <w:rPr>
          <w:b/>
          <w:sz w:val="20"/>
          <w:szCs w:val="22"/>
        </w:rPr>
        <w:t xml:space="preserve"> </w:t>
      </w:r>
      <w:r w:rsidR="00E04860" w:rsidRPr="001F5075">
        <w:rPr>
          <w:b/>
          <w:sz w:val="20"/>
          <w:szCs w:val="22"/>
        </w:rPr>
        <w:t>et al</w:t>
      </w:r>
      <w:r w:rsidRPr="001F5075">
        <w:rPr>
          <w:b/>
          <w:sz w:val="20"/>
          <w:szCs w:val="22"/>
        </w:rPr>
        <w:t xml:space="preserve"> </w:t>
      </w:r>
      <w:r w:rsidR="00E423D5" w:rsidRPr="001F5075">
        <w:rPr>
          <w:b/>
          <w:sz w:val="20"/>
          <w:szCs w:val="22"/>
        </w:rPr>
        <w:t>(2003</w:t>
      </w:r>
      <w:r w:rsidRPr="001F5075">
        <w:rPr>
          <w:b/>
          <w:sz w:val="20"/>
          <w:szCs w:val="22"/>
        </w:rPr>
        <w:t>)</w:t>
      </w:r>
      <w:r w:rsidRPr="001F5075">
        <w:rPr>
          <w:sz w:val="20"/>
          <w:szCs w:val="22"/>
        </w:rPr>
        <w:t xml:space="preserve"> discussed the confusion in a foot with rheumatoid arthritis </w:t>
      </w:r>
      <w:r w:rsidR="009A187E">
        <w:rPr>
          <w:sz w:val="20"/>
          <w:szCs w:val="22"/>
        </w:rPr>
        <w:t>as a differential diagnosis.</w:t>
      </w:r>
    </w:p>
    <w:p w14:paraId="453E2832" w14:textId="0E0DA45D" w:rsidR="00251D90" w:rsidRPr="001F5075" w:rsidRDefault="00C448C8" w:rsidP="00251D90">
      <w:pPr>
        <w:ind w:left="-284" w:firstLine="1004"/>
        <w:rPr>
          <w:sz w:val="20"/>
          <w:szCs w:val="22"/>
        </w:rPr>
      </w:pPr>
      <w:r w:rsidRPr="001F5075">
        <w:rPr>
          <w:b/>
          <w:sz w:val="20"/>
          <w:szCs w:val="22"/>
        </w:rPr>
        <w:t>Hewitt et al (2007)</w:t>
      </w:r>
      <w:r w:rsidRPr="001F5075">
        <w:rPr>
          <w:sz w:val="20"/>
          <w:szCs w:val="22"/>
        </w:rPr>
        <w:t xml:space="preserve"> looking at reliability in the earliest British podiatry study on the subject of </w:t>
      </w:r>
      <w:r w:rsidR="001F2FAB" w:rsidRPr="001F5075">
        <w:rPr>
          <w:sz w:val="20"/>
          <w:szCs w:val="22"/>
        </w:rPr>
        <w:t>Morton’s</w:t>
      </w:r>
      <w:r w:rsidRPr="001F5075">
        <w:rPr>
          <w:sz w:val="20"/>
          <w:szCs w:val="22"/>
        </w:rPr>
        <w:t xml:space="preserve"> neuroma</w:t>
      </w:r>
      <w:r w:rsidR="001F2FAB" w:rsidRPr="001F5075">
        <w:rPr>
          <w:sz w:val="20"/>
          <w:szCs w:val="22"/>
        </w:rPr>
        <w:t xml:space="preserve"> </w:t>
      </w:r>
      <w:r w:rsidR="009A187E">
        <w:rPr>
          <w:sz w:val="20"/>
          <w:szCs w:val="22"/>
        </w:rPr>
        <w:t xml:space="preserve">using ultrasound </w:t>
      </w:r>
      <w:r w:rsidR="00D57FCD" w:rsidRPr="001F5075">
        <w:rPr>
          <w:sz w:val="20"/>
          <w:szCs w:val="22"/>
        </w:rPr>
        <w:t xml:space="preserve">and </w:t>
      </w:r>
      <w:r w:rsidR="001F2FAB" w:rsidRPr="001F5075">
        <w:rPr>
          <w:sz w:val="20"/>
          <w:szCs w:val="22"/>
        </w:rPr>
        <w:t>confirmed the higher occurrence between the 3/4</w:t>
      </w:r>
      <w:r w:rsidR="001F2FAB" w:rsidRPr="001F5075">
        <w:rPr>
          <w:sz w:val="20"/>
          <w:szCs w:val="22"/>
          <w:vertAlign w:val="superscript"/>
        </w:rPr>
        <w:t>th</w:t>
      </w:r>
      <w:r w:rsidR="001F2FAB" w:rsidRPr="001F5075">
        <w:rPr>
          <w:sz w:val="20"/>
          <w:szCs w:val="22"/>
        </w:rPr>
        <w:t xml:space="preserve"> intermetatarsal space. </w:t>
      </w:r>
      <w:r w:rsidR="00251D90" w:rsidRPr="001F5075">
        <w:rPr>
          <w:sz w:val="20"/>
          <w:szCs w:val="22"/>
        </w:rPr>
        <w:t xml:space="preserve">The 3-4 space has a range 38-86% incidence, 2-3 has a range of 14-42%, so around ½ as common. When the two spaces are considered together, the incidence is around 33% and bilateral around 25% chance. The incidence of the other spaces having a true neuroma is negligible with the 1-2nd space unlikely to be affected and 4-5th space with a 4% incidence </w:t>
      </w:r>
      <w:r w:rsidR="00251D90" w:rsidRPr="00F35100">
        <w:rPr>
          <w:b/>
          <w:sz w:val="20"/>
          <w:szCs w:val="22"/>
        </w:rPr>
        <w:t>Pastides et al (2014)</w:t>
      </w:r>
      <w:r w:rsidR="00251D90" w:rsidRPr="001F5075">
        <w:rPr>
          <w:sz w:val="20"/>
          <w:szCs w:val="22"/>
        </w:rPr>
        <w:t xml:space="preserve">. </w:t>
      </w:r>
    </w:p>
    <w:p w14:paraId="36C1D129" w14:textId="77777777" w:rsidR="00DD62AB" w:rsidRDefault="00DD62AB" w:rsidP="00D57FCD">
      <w:pPr>
        <w:ind w:left="-284" w:firstLine="1004"/>
        <w:rPr>
          <w:sz w:val="20"/>
          <w:szCs w:val="22"/>
        </w:rPr>
      </w:pPr>
    </w:p>
    <w:p w14:paraId="60B2FC84" w14:textId="37D626A5" w:rsidR="00251D90" w:rsidRDefault="001F2FAB" w:rsidP="00D57FCD">
      <w:pPr>
        <w:ind w:left="-284" w:firstLine="1004"/>
        <w:rPr>
          <w:sz w:val="20"/>
          <w:szCs w:val="22"/>
        </w:rPr>
      </w:pPr>
      <w:r w:rsidRPr="001F5075">
        <w:rPr>
          <w:sz w:val="20"/>
          <w:szCs w:val="22"/>
        </w:rPr>
        <w:t xml:space="preserve">Taking one paper alone for epidemiological purposes leads to confounding factors and so overall meta-analysis is better in the absence of large data </w:t>
      </w:r>
      <w:r w:rsidR="00320143" w:rsidRPr="001F5075">
        <w:rPr>
          <w:sz w:val="20"/>
          <w:szCs w:val="22"/>
        </w:rPr>
        <w:t>and</w:t>
      </w:r>
      <w:r w:rsidRPr="001F5075">
        <w:rPr>
          <w:sz w:val="20"/>
          <w:szCs w:val="22"/>
        </w:rPr>
        <w:t xml:space="preserve"> is more representative of a population</w:t>
      </w:r>
      <w:r w:rsidR="00E52386">
        <w:rPr>
          <w:sz w:val="20"/>
          <w:szCs w:val="22"/>
        </w:rPr>
        <w:t>. R</w:t>
      </w:r>
      <w:r w:rsidR="00F35100">
        <w:rPr>
          <w:sz w:val="20"/>
          <w:szCs w:val="22"/>
        </w:rPr>
        <w:t xml:space="preserve">ecent literature studies include </w:t>
      </w:r>
      <w:r w:rsidR="00F35100" w:rsidRPr="00F35100">
        <w:rPr>
          <w:b/>
          <w:sz w:val="20"/>
          <w:szCs w:val="22"/>
        </w:rPr>
        <w:t>DiCaprio et al 2018</w:t>
      </w:r>
      <w:r w:rsidR="00F35100">
        <w:rPr>
          <w:sz w:val="20"/>
          <w:szCs w:val="22"/>
        </w:rPr>
        <w:t xml:space="preserve"> from Italy and </w:t>
      </w:r>
      <w:r w:rsidR="00F35100" w:rsidRPr="00F35100">
        <w:rPr>
          <w:b/>
          <w:sz w:val="20"/>
          <w:szCs w:val="22"/>
        </w:rPr>
        <w:t>Valisena et al 2017</w:t>
      </w:r>
      <w:r w:rsidR="00F35100">
        <w:rPr>
          <w:sz w:val="20"/>
          <w:szCs w:val="22"/>
        </w:rPr>
        <w:t xml:space="preserve"> from Switzerland</w:t>
      </w:r>
      <w:r w:rsidRPr="001F5075">
        <w:rPr>
          <w:sz w:val="20"/>
          <w:szCs w:val="22"/>
        </w:rPr>
        <w:t xml:space="preserve">. </w:t>
      </w:r>
      <w:r w:rsidR="00251D90">
        <w:rPr>
          <w:sz w:val="20"/>
          <w:szCs w:val="22"/>
        </w:rPr>
        <w:t xml:space="preserve"> </w:t>
      </w:r>
      <w:r w:rsidR="00F35100">
        <w:rPr>
          <w:sz w:val="20"/>
          <w:szCs w:val="22"/>
        </w:rPr>
        <w:t xml:space="preserve">An even more </w:t>
      </w:r>
      <w:r w:rsidR="00251D90">
        <w:rPr>
          <w:sz w:val="20"/>
          <w:szCs w:val="22"/>
        </w:rPr>
        <w:t>recent paper covering the effectiveness of non-surgical methods is worthy of review because it uses meta-analysis critically to identify the low number of randomised and controlled approaches used in studying effectiveness over a span of 180 years. The treatment</w:t>
      </w:r>
      <w:r w:rsidR="00F35100">
        <w:rPr>
          <w:sz w:val="20"/>
          <w:szCs w:val="22"/>
        </w:rPr>
        <w:t>s that have</w:t>
      </w:r>
      <w:r w:rsidR="00251D90">
        <w:rPr>
          <w:sz w:val="20"/>
          <w:szCs w:val="22"/>
        </w:rPr>
        <w:t xml:space="preserve"> greatest </w:t>
      </w:r>
      <w:r w:rsidR="00F35100">
        <w:rPr>
          <w:sz w:val="20"/>
          <w:szCs w:val="22"/>
        </w:rPr>
        <w:t xml:space="preserve">evidential </w:t>
      </w:r>
      <w:r w:rsidR="00251D90">
        <w:rPr>
          <w:sz w:val="20"/>
          <w:szCs w:val="22"/>
        </w:rPr>
        <w:t xml:space="preserve">value </w:t>
      </w:r>
      <w:r w:rsidR="00F35100">
        <w:rPr>
          <w:sz w:val="20"/>
          <w:szCs w:val="22"/>
        </w:rPr>
        <w:t>are</w:t>
      </w:r>
      <w:r w:rsidR="00251D90">
        <w:rPr>
          <w:sz w:val="20"/>
          <w:szCs w:val="22"/>
        </w:rPr>
        <w:t xml:space="preserve"> corticosteroid injection</w:t>
      </w:r>
      <w:r w:rsidR="00F35100">
        <w:rPr>
          <w:sz w:val="20"/>
          <w:szCs w:val="22"/>
        </w:rPr>
        <w:t xml:space="preserve"> and manipulative techniques</w:t>
      </w:r>
      <w:r w:rsidR="00251D90">
        <w:rPr>
          <w:sz w:val="20"/>
          <w:szCs w:val="22"/>
        </w:rPr>
        <w:t xml:space="preserve">. </w:t>
      </w:r>
      <w:r w:rsidR="00F35100">
        <w:rPr>
          <w:sz w:val="20"/>
          <w:szCs w:val="22"/>
        </w:rPr>
        <w:t xml:space="preserve">Ideas about ECWST, cryosurgery and radiofrequency ablation, amongst others mentioned fair less well and fail to </w:t>
      </w:r>
      <w:r w:rsidR="00251D90">
        <w:rPr>
          <w:sz w:val="20"/>
          <w:szCs w:val="22"/>
        </w:rPr>
        <w:t>meet the higher standards required of modern research (</w:t>
      </w:r>
      <w:r w:rsidR="00251D90" w:rsidRPr="00F35100">
        <w:rPr>
          <w:b/>
          <w:sz w:val="20"/>
          <w:szCs w:val="22"/>
        </w:rPr>
        <w:t>Matthew et al 2019).</w:t>
      </w:r>
      <w:r w:rsidR="00251D90">
        <w:rPr>
          <w:sz w:val="20"/>
          <w:szCs w:val="22"/>
        </w:rPr>
        <w:t xml:space="preserve"> </w:t>
      </w:r>
    </w:p>
    <w:p w14:paraId="30D103D3" w14:textId="77777777" w:rsidR="00456BF1" w:rsidRDefault="00456BF1" w:rsidP="00FB7AC1">
      <w:pPr>
        <w:ind w:left="-284"/>
      </w:pPr>
    </w:p>
    <w:p w14:paraId="5D8C8753" w14:textId="1E25D131" w:rsidR="00456BF1" w:rsidRPr="00342659" w:rsidRDefault="00E12F16" w:rsidP="00FB7AC1">
      <w:pPr>
        <w:pStyle w:val="Heading2"/>
        <w:spacing w:before="0"/>
        <w:ind w:left="-284"/>
        <w:rPr>
          <w:rFonts w:asciiTheme="minorHAnsi" w:hAnsiTheme="minorHAnsi"/>
          <w:b/>
          <w:color w:val="000000" w:themeColor="text1"/>
          <w:sz w:val="24"/>
        </w:rPr>
      </w:pPr>
      <w:r w:rsidRPr="00342659">
        <w:rPr>
          <w:rFonts w:asciiTheme="minorHAnsi" w:hAnsiTheme="minorHAnsi"/>
          <w:b/>
          <w:color w:val="000000" w:themeColor="text1"/>
          <w:sz w:val="24"/>
        </w:rPr>
        <w:t xml:space="preserve">Historical Podiatric </w:t>
      </w:r>
      <w:r w:rsidR="00456BF1" w:rsidRPr="00342659">
        <w:rPr>
          <w:rFonts w:asciiTheme="minorHAnsi" w:hAnsiTheme="minorHAnsi"/>
          <w:b/>
          <w:color w:val="000000" w:themeColor="text1"/>
          <w:sz w:val="24"/>
        </w:rPr>
        <w:t>Treatment</w:t>
      </w:r>
      <w:r w:rsidRPr="00342659">
        <w:rPr>
          <w:rFonts w:asciiTheme="minorHAnsi" w:hAnsiTheme="minorHAnsi"/>
          <w:b/>
          <w:color w:val="000000" w:themeColor="text1"/>
          <w:sz w:val="24"/>
        </w:rPr>
        <w:t xml:space="preserve"> in the UK</w:t>
      </w:r>
    </w:p>
    <w:p w14:paraId="7330548A" w14:textId="77777777" w:rsidR="00456BF1" w:rsidRDefault="00456BF1" w:rsidP="00FB7AC1">
      <w:pPr>
        <w:ind w:left="-284"/>
      </w:pPr>
    </w:p>
    <w:p w14:paraId="4C6E7718" w14:textId="32BF809B" w:rsidR="00102626" w:rsidRDefault="00D62B37" w:rsidP="00DD62AB">
      <w:pPr>
        <w:ind w:left="-284" w:firstLine="1004"/>
        <w:rPr>
          <w:sz w:val="20"/>
          <w:szCs w:val="20"/>
        </w:rPr>
      </w:pPr>
      <w:r w:rsidRPr="001F5075">
        <w:rPr>
          <w:sz w:val="20"/>
          <w:szCs w:val="20"/>
        </w:rPr>
        <w:t>T</w:t>
      </w:r>
      <w:r w:rsidR="00456BF1" w:rsidRPr="001F5075">
        <w:rPr>
          <w:sz w:val="20"/>
          <w:szCs w:val="20"/>
        </w:rPr>
        <w:t xml:space="preserve">he podiatrist </w:t>
      </w:r>
      <w:r w:rsidR="00251D90">
        <w:rPr>
          <w:sz w:val="20"/>
          <w:szCs w:val="20"/>
        </w:rPr>
        <w:t>requires knowledge, diagnosis</w:t>
      </w:r>
      <w:r w:rsidRPr="001F5075">
        <w:rPr>
          <w:sz w:val="20"/>
          <w:szCs w:val="20"/>
        </w:rPr>
        <w:t xml:space="preserve"> and </w:t>
      </w:r>
      <w:r w:rsidR="00251D90">
        <w:rPr>
          <w:sz w:val="20"/>
          <w:szCs w:val="20"/>
        </w:rPr>
        <w:t>skills</w:t>
      </w:r>
      <w:r w:rsidRPr="001F5075">
        <w:rPr>
          <w:sz w:val="20"/>
          <w:szCs w:val="20"/>
        </w:rPr>
        <w:t xml:space="preserve"> to manage the condition. </w:t>
      </w:r>
      <w:r w:rsidR="00456BF1" w:rsidRPr="001F5075">
        <w:rPr>
          <w:sz w:val="20"/>
          <w:szCs w:val="20"/>
        </w:rPr>
        <w:t>These three ingredients matter</w:t>
      </w:r>
      <w:r w:rsidR="00D57FCD" w:rsidRPr="001F5075">
        <w:rPr>
          <w:sz w:val="20"/>
          <w:szCs w:val="20"/>
        </w:rPr>
        <w:t xml:space="preserve"> </w:t>
      </w:r>
      <w:r w:rsidR="00251D90">
        <w:rPr>
          <w:sz w:val="20"/>
          <w:szCs w:val="20"/>
        </w:rPr>
        <w:t>and</w:t>
      </w:r>
      <w:r w:rsidR="00D57FCD" w:rsidRPr="001F5075">
        <w:rPr>
          <w:sz w:val="20"/>
          <w:szCs w:val="20"/>
        </w:rPr>
        <w:t xml:space="preserve"> guide the plan </w:t>
      </w:r>
      <w:r w:rsidR="00251D90">
        <w:rPr>
          <w:sz w:val="20"/>
          <w:szCs w:val="20"/>
        </w:rPr>
        <w:t>upon our treatment protocol</w:t>
      </w:r>
      <w:r w:rsidR="00456BF1" w:rsidRPr="001F5075">
        <w:rPr>
          <w:sz w:val="20"/>
          <w:szCs w:val="20"/>
        </w:rPr>
        <w:t>. When I trained in 1975-78</w:t>
      </w:r>
      <w:r w:rsidRPr="001F5075">
        <w:rPr>
          <w:sz w:val="20"/>
          <w:szCs w:val="20"/>
        </w:rPr>
        <w:t xml:space="preserve"> we</w:t>
      </w:r>
      <w:r w:rsidR="00456BF1" w:rsidRPr="001F5075">
        <w:rPr>
          <w:sz w:val="20"/>
          <w:szCs w:val="20"/>
        </w:rPr>
        <w:t xml:space="preserve"> had one tool, </w:t>
      </w:r>
      <w:r w:rsidRPr="001F5075">
        <w:rPr>
          <w:sz w:val="20"/>
          <w:szCs w:val="20"/>
        </w:rPr>
        <w:t xml:space="preserve">the scope was limited to </w:t>
      </w:r>
      <w:r w:rsidR="00D57FCD" w:rsidRPr="001F5075">
        <w:rPr>
          <w:sz w:val="20"/>
          <w:szCs w:val="20"/>
        </w:rPr>
        <w:t>a clinical pad;</w:t>
      </w:r>
      <w:r w:rsidR="00456BF1" w:rsidRPr="001F5075">
        <w:rPr>
          <w:sz w:val="20"/>
          <w:szCs w:val="20"/>
        </w:rPr>
        <w:t xml:space="preserve"> an insole or footwear education. Today scope is accessible to any podiatrist who wishes to extend their training. Schools are limited in providing an extension to prescription drugs and so it is important to upskill. </w:t>
      </w:r>
      <w:r w:rsidR="00FD223B" w:rsidRPr="001F5075">
        <w:rPr>
          <w:sz w:val="20"/>
          <w:szCs w:val="20"/>
        </w:rPr>
        <w:t>T</w:t>
      </w:r>
      <w:r w:rsidR="0036505A" w:rsidRPr="001F5075">
        <w:rPr>
          <w:sz w:val="20"/>
          <w:szCs w:val="20"/>
        </w:rPr>
        <w:t xml:space="preserve">he first podiatry steroid report suggested that </w:t>
      </w:r>
      <w:r w:rsidRPr="001F5075">
        <w:rPr>
          <w:sz w:val="20"/>
          <w:szCs w:val="20"/>
        </w:rPr>
        <w:t>&lt;40</w:t>
      </w:r>
      <w:r w:rsidR="0036505A" w:rsidRPr="001F5075">
        <w:rPr>
          <w:sz w:val="20"/>
          <w:szCs w:val="20"/>
        </w:rPr>
        <w:t xml:space="preserve">% </w:t>
      </w:r>
      <w:r w:rsidRPr="001F5075">
        <w:rPr>
          <w:sz w:val="20"/>
          <w:szCs w:val="20"/>
        </w:rPr>
        <w:t xml:space="preserve">of </w:t>
      </w:r>
      <w:r w:rsidR="0036505A" w:rsidRPr="001F5075">
        <w:rPr>
          <w:sz w:val="20"/>
          <w:szCs w:val="20"/>
        </w:rPr>
        <w:t>patie</w:t>
      </w:r>
      <w:r w:rsidR="00251D90">
        <w:rPr>
          <w:sz w:val="20"/>
          <w:szCs w:val="20"/>
        </w:rPr>
        <w:t>nts</w:t>
      </w:r>
      <w:r w:rsidRPr="001F5075">
        <w:rPr>
          <w:sz w:val="20"/>
          <w:szCs w:val="20"/>
        </w:rPr>
        <w:t xml:space="preserve"> </w:t>
      </w:r>
      <w:r w:rsidR="0036505A" w:rsidRPr="001F5075">
        <w:rPr>
          <w:sz w:val="20"/>
          <w:szCs w:val="20"/>
        </w:rPr>
        <w:t>benefitted beyond 6 months or longer after injection</w:t>
      </w:r>
      <w:r w:rsidR="00FD223B" w:rsidRPr="001F5075">
        <w:rPr>
          <w:sz w:val="20"/>
          <w:szCs w:val="20"/>
        </w:rPr>
        <w:t xml:space="preserve">, </w:t>
      </w:r>
      <w:hyperlink r:id="rId12" w:history="1">
        <w:r w:rsidR="00FD223B" w:rsidRPr="001F5075">
          <w:rPr>
            <w:rStyle w:val="Hyperlink"/>
            <w:b/>
            <w:sz w:val="20"/>
            <w:szCs w:val="20"/>
          </w:rPr>
          <w:t>Tollafield &amp; Williams (1998)</w:t>
        </w:r>
        <w:r w:rsidR="0036505A" w:rsidRPr="001F5075">
          <w:rPr>
            <w:rStyle w:val="Hyperlink"/>
            <w:b/>
            <w:sz w:val="20"/>
            <w:szCs w:val="20"/>
          </w:rPr>
          <w:t>.</w:t>
        </w:r>
      </w:hyperlink>
      <w:r w:rsidR="0036505A" w:rsidRPr="001F5075">
        <w:rPr>
          <w:sz w:val="20"/>
          <w:szCs w:val="20"/>
        </w:rPr>
        <w:t xml:space="preserve"> </w:t>
      </w:r>
      <w:r w:rsidR="00FD223B" w:rsidRPr="001F5075">
        <w:rPr>
          <w:sz w:val="20"/>
          <w:szCs w:val="20"/>
        </w:rPr>
        <w:t>Ideally</w:t>
      </w:r>
      <w:r w:rsidR="0036505A" w:rsidRPr="001F5075">
        <w:rPr>
          <w:sz w:val="20"/>
          <w:szCs w:val="20"/>
        </w:rPr>
        <w:t xml:space="preserve"> such medication should </w:t>
      </w:r>
      <w:r w:rsidRPr="001F5075">
        <w:rPr>
          <w:sz w:val="20"/>
          <w:szCs w:val="20"/>
        </w:rPr>
        <w:t>have eradicated the condition, but s</w:t>
      </w:r>
      <w:r w:rsidR="00DD62AB">
        <w:rPr>
          <w:sz w:val="20"/>
          <w:szCs w:val="20"/>
        </w:rPr>
        <w:t>urgery was still required</w:t>
      </w:r>
      <w:r w:rsidR="00F35100">
        <w:rPr>
          <w:sz w:val="20"/>
          <w:szCs w:val="20"/>
        </w:rPr>
        <w:t>.</w:t>
      </w:r>
    </w:p>
    <w:p w14:paraId="7153B123" w14:textId="77777777" w:rsidR="00F35100" w:rsidRDefault="00F35100" w:rsidP="00DD62AB">
      <w:pPr>
        <w:ind w:left="-284" w:firstLine="1004"/>
        <w:rPr>
          <w:sz w:val="20"/>
          <w:szCs w:val="20"/>
        </w:rPr>
      </w:pPr>
    </w:p>
    <w:p w14:paraId="77B57B91" w14:textId="77777777" w:rsidR="00F35100" w:rsidRDefault="00F35100" w:rsidP="00DD62AB">
      <w:pPr>
        <w:ind w:left="-284" w:firstLine="1004"/>
        <w:rPr>
          <w:sz w:val="20"/>
          <w:szCs w:val="20"/>
        </w:rPr>
      </w:pPr>
    </w:p>
    <w:p w14:paraId="085271E6" w14:textId="77777777" w:rsidR="00F35100" w:rsidRDefault="00F35100" w:rsidP="00DD62AB">
      <w:pPr>
        <w:ind w:left="-284" w:firstLine="1004"/>
        <w:rPr>
          <w:sz w:val="20"/>
          <w:szCs w:val="20"/>
        </w:rPr>
      </w:pPr>
    </w:p>
    <w:p w14:paraId="3207CD94" w14:textId="77777777" w:rsidR="00F35100" w:rsidRPr="001F5075" w:rsidRDefault="00F35100" w:rsidP="00DD62AB">
      <w:pPr>
        <w:ind w:left="-284" w:firstLine="1004"/>
        <w:rPr>
          <w:sz w:val="20"/>
          <w:szCs w:val="20"/>
        </w:rPr>
      </w:pPr>
    </w:p>
    <w:p w14:paraId="0E6B5234" w14:textId="77777777" w:rsidR="00DD62AB" w:rsidRDefault="00DD62AB" w:rsidP="00FB7AC1">
      <w:pPr>
        <w:ind w:left="-284"/>
        <w:sectPr w:rsidR="00DD62AB" w:rsidSect="00DD62AB">
          <w:type w:val="continuous"/>
          <w:pgSz w:w="11900" w:h="16840"/>
          <w:pgMar w:top="1440" w:right="1440" w:bottom="1440" w:left="1440" w:header="720" w:footer="720" w:gutter="0"/>
          <w:cols w:num="2" w:space="720"/>
          <w:docGrid w:linePitch="360"/>
        </w:sectPr>
      </w:pPr>
    </w:p>
    <w:p w14:paraId="67B6FC38" w14:textId="5A51C7D0" w:rsidR="00456BF1" w:rsidRDefault="00102626" w:rsidP="00FB7AC1">
      <w:pPr>
        <w:ind w:left="-284"/>
      </w:pPr>
      <w:r w:rsidRPr="0036505A">
        <w:rPr>
          <w:noProof/>
          <w:sz w:val="22"/>
          <w:lang w:eastAsia="en-GB"/>
        </w:rPr>
        <w:drawing>
          <wp:anchor distT="0" distB="0" distL="114300" distR="114300" simplePos="0" relativeHeight="251660288" behindDoc="0" locked="0" layoutInCell="1" allowOverlap="1" wp14:anchorId="64C6C3E9" wp14:editId="1D103497">
            <wp:simplePos x="0" y="0"/>
            <wp:positionH relativeFrom="column">
              <wp:posOffset>-64135</wp:posOffset>
            </wp:positionH>
            <wp:positionV relativeFrom="paragraph">
              <wp:posOffset>252095</wp:posOffset>
            </wp:positionV>
            <wp:extent cx="5601335" cy="315087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01335" cy="3150870"/>
                    </a:xfrm>
                    <a:prstGeom prst="rect">
                      <a:avLst/>
                    </a:prstGeom>
                  </pic:spPr>
                </pic:pic>
              </a:graphicData>
            </a:graphic>
            <wp14:sizeRelH relativeFrom="page">
              <wp14:pctWidth>0</wp14:pctWidth>
            </wp14:sizeRelH>
            <wp14:sizeRelV relativeFrom="page">
              <wp14:pctHeight>0</wp14:pctHeight>
            </wp14:sizeRelV>
          </wp:anchor>
        </w:drawing>
      </w:r>
    </w:p>
    <w:p w14:paraId="11BE4CA1" w14:textId="72498FA4" w:rsidR="00102626" w:rsidRPr="001F5075" w:rsidRDefault="00102626" w:rsidP="00FB7AC1">
      <w:pPr>
        <w:ind w:left="-284"/>
        <w:jc w:val="center"/>
        <w:rPr>
          <w:sz w:val="20"/>
        </w:rPr>
      </w:pPr>
      <w:r w:rsidRPr="001F5075">
        <w:rPr>
          <w:sz w:val="20"/>
        </w:rPr>
        <w:t xml:space="preserve">Figure </w:t>
      </w:r>
      <w:r w:rsidR="00D069EE" w:rsidRPr="001F5075">
        <w:rPr>
          <w:sz w:val="20"/>
        </w:rPr>
        <w:t>1. Adapted from</w:t>
      </w:r>
      <w:r w:rsidRPr="001F5075">
        <w:rPr>
          <w:sz w:val="20"/>
        </w:rPr>
        <w:t xml:space="preserve"> Bennet et al (1995) Clinical Timelines n=115</w:t>
      </w:r>
      <w:r w:rsidR="00C1297C" w:rsidRPr="001F5075">
        <w:rPr>
          <w:sz w:val="20"/>
        </w:rPr>
        <w:t xml:space="preserve"> (lecture slide- author)</w:t>
      </w:r>
    </w:p>
    <w:p w14:paraId="4C8E8787" w14:textId="77777777" w:rsidR="00102626" w:rsidRDefault="00102626" w:rsidP="00FB7AC1">
      <w:pPr>
        <w:ind w:left="-284"/>
        <w:rPr>
          <w:sz w:val="22"/>
        </w:rPr>
      </w:pPr>
    </w:p>
    <w:p w14:paraId="5F7F08E8" w14:textId="77777777" w:rsidR="004148D3" w:rsidRDefault="004148D3" w:rsidP="00FB7AC1">
      <w:pPr>
        <w:pStyle w:val="Heading1"/>
        <w:spacing w:before="0"/>
        <w:ind w:left="-284"/>
        <w:rPr>
          <w:b/>
          <w:sz w:val="24"/>
          <w:szCs w:val="22"/>
        </w:rPr>
        <w:sectPr w:rsidR="004148D3" w:rsidSect="004148D3">
          <w:type w:val="continuous"/>
          <w:pgSz w:w="11900" w:h="16840"/>
          <w:pgMar w:top="1440" w:right="1440" w:bottom="1440" w:left="1440" w:header="720" w:footer="720" w:gutter="0"/>
          <w:cols w:space="720"/>
          <w:docGrid w:linePitch="360"/>
        </w:sectPr>
      </w:pPr>
    </w:p>
    <w:p w14:paraId="06C48742" w14:textId="3278F827" w:rsidR="002D5841" w:rsidRPr="001F5075" w:rsidRDefault="002D5841" w:rsidP="00FB7AC1">
      <w:pPr>
        <w:pStyle w:val="Heading1"/>
        <w:spacing w:before="0"/>
        <w:ind w:left="-284"/>
        <w:rPr>
          <w:rFonts w:asciiTheme="minorHAnsi" w:hAnsiTheme="minorHAnsi"/>
          <w:b/>
          <w:sz w:val="22"/>
          <w:szCs w:val="22"/>
        </w:rPr>
      </w:pPr>
      <w:r w:rsidRPr="00342659">
        <w:rPr>
          <w:rFonts w:asciiTheme="minorHAnsi" w:hAnsiTheme="minorHAnsi"/>
          <w:b/>
          <w:color w:val="000000" w:themeColor="text1"/>
          <w:sz w:val="24"/>
          <w:szCs w:val="22"/>
        </w:rPr>
        <w:t>Cas</w:t>
      </w:r>
      <w:r w:rsidR="004D7FC1">
        <w:rPr>
          <w:rFonts w:asciiTheme="minorHAnsi" w:hAnsiTheme="minorHAnsi"/>
          <w:b/>
          <w:color w:val="000000" w:themeColor="text1"/>
          <w:sz w:val="24"/>
          <w:szCs w:val="22"/>
        </w:rPr>
        <w:t>e History emphasising ‘Timeline</w:t>
      </w:r>
      <w:r w:rsidRPr="00342659">
        <w:rPr>
          <w:rFonts w:asciiTheme="minorHAnsi" w:hAnsiTheme="minorHAnsi"/>
          <w:b/>
          <w:color w:val="000000" w:themeColor="text1"/>
          <w:sz w:val="24"/>
          <w:szCs w:val="22"/>
        </w:rPr>
        <w:t>’ (methodology)</w:t>
      </w:r>
    </w:p>
    <w:p w14:paraId="3C85AF57" w14:textId="77777777" w:rsidR="002D5841" w:rsidRPr="001F5075" w:rsidRDefault="002D5841" w:rsidP="00FB7AC1">
      <w:pPr>
        <w:ind w:left="-284"/>
        <w:rPr>
          <w:sz w:val="20"/>
          <w:szCs w:val="20"/>
        </w:rPr>
      </w:pPr>
      <w:bookmarkStart w:id="0" w:name="_GoBack"/>
      <w:bookmarkEnd w:id="0"/>
    </w:p>
    <w:p w14:paraId="71F6D485" w14:textId="2674FE7C" w:rsidR="00456BF1" w:rsidRDefault="00A471C6" w:rsidP="00FB7AC1">
      <w:pPr>
        <w:ind w:left="-284" w:firstLine="1004"/>
        <w:rPr>
          <w:sz w:val="20"/>
          <w:szCs w:val="20"/>
        </w:rPr>
      </w:pPr>
      <w:r w:rsidRPr="001F5075">
        <w:rPr>
          <w:sz w:val="20"/>
          <w:szCs w:val="20"/>
        </w:rPr>
        <w:t xml:space="preserve">A 54-year old male started to use orthoses for </w:t>
      </w:r>
      <w:r w:rsidR="00835309" w:rsidRPr="001F5075">
        <w:rPr>
          <w:sz w:val="20"/>
          <w:szCs w:val="20"/>
        </w:rPr>
        <w:t xml:space="preserve">his </w:t>
      </w:r>
      <w:r w:rsidRPr="001F5075">
        <w:rPr>
          <w:sz w:val="20"/>
          <w:szCs w:val="20"/>
        </w:rPr>
        <w:t xml:space="preserve">foot discomfort. The odd twinge reminded him of Morton’s neuroma </w:t>
      </w:r>
      <w:r w:rsidR="00D62B37" w:rsidRPr="001F5075">
        <w:rPr>
          <w:sz w:val="20"/>
          <w:szCs w:val="20"/>
        </w:rPr>
        <w:t xml:space="preserve">as the patient was a podiatrist himself, </w:t>
      </w:r>
      <w:r w:rsidRPr="001F5075">
        <w:rPr>
          <w:sz w:val="20"/>
          <w:szCs w:val="20"/>
        </w:rPr>
        <w:t>but he felt the symptoms were not frequent enough</w:t>
      </w:r>
      <w:r w:rsidR="00D62B37" w:rsidRPr="001F5075">
        <w:rPr>
          <w:sz w:val="20"/>
          <w:szCs w:val="20"/>
        </w:rPr>
        <w:t xml:space="preserve"> to warrant further attention</w:t>
      </w:r>
      <w:r w:rsidRPr="001F5075">
        <w:rPr>
          <w:sz w:val="20"/>
          <w:szCs w:val="20"/>
        </w:rPr>
        <w:t>. He acquired a pair of bespoke orthoses taken on an oasis cast bed and used these with</w:t>
      </w:r>
      <w:r w:rsidR="00D62B37" w:rsidRPr="001F5075">
        <w:rPr>
          <w:sz w:val="20"/>
          <w:szCs w:val="20"/>
        </w:rPr>
        <w:t xml:space="preserve"> some</w:t>
      </w:r>
      <w:r w:rsidRPr="001F5075">
        <w:rPr>
          <w:sz w:val="20"/>
          <w:szCs w:val="20"/>
        </w:rPr>
        <w:t xml:space="preserve"> success. Upon purchasing a pair of cycling shoes that lock</w:t>
      </w:r>
      <w:r w:rsidR="00D62B37" w:rsidRPr="001F5075">
        <w:rPr>
          <w:sz w:val="20"/>
          <w:szCs w:val="20"/>
        </w:rPr>
        <w:t>ed down onto the pedal</w:t>
      </w:r>
      <w:r w:rsidR="00251D90">
        <w:rPr>
          <w:sz w:val="20"/>
          <w:szCs w:val="20"/>
        </w:rPr>
        <w:t xml:space="preserve"> with a twist,</w:t>
      </w:r>
      <w:r w:rsidRPr="001F5075">
        <w:rPr>
          <w:sz w:val="20"/>
          <w:szCs w:val="20"/>
        </w:rPr>
        <w:t xml:space="preserve"> his pain grew exponentially to a point </w:t>
      </w:r>
      <w:r w:rsidR="00835309" w:rsidRPr="001F5075">
        <w:rPr>
          <w:sz w:val="20"/>
          <w:szCs w:val="20"/>
        </w:rPr>
        <w:t xml:space="preserve">where </w:t>
      </w:r>
      <w:r w:rsidRPr="001F5075">
        <w:rPr>
          <w:sz w:val="20"/>
          <w:szCs w:val="20"/>
        </w:rPr>
        <w:t>he realised his shoes were tight. These were changed for the next size up and some improvement was notice</w:t>
      </w:r>
      <w:r w:rsidR="00D62B37" w:rsidRPr="001F5075">
        <w:rPr>
          <w:sz w:val="20"/>
          <w:szCs w:val="20"/>
        </w:rPr>
        <w:t>d</w:t>
      </w:r>
      <w:r w:rsidRPr="001F5075">
        <w:rPr>
          <w:sz w:val="20"/>
          <w:szCs w:val="20"/>
        </w:rPr>
        <w:t xml:space="preserve">. By winter the symptoms went through the characteristic phases of pain under the ball, paraesthesia, crushing discomfort and surprisingly </w:t>
      </w:r>
      <w:r w:rsidR="00D62B37" w:rsidRPr="001F5075">
        <w:rPr>
          <w:sz w:val="20"/>
          <w:szCs w:val="20"/>
        </w:rPr>
        <w:t xml:space="preserve">increased </w:t>
      </w:r>
      <w:r w:rsidRPr="001F5075">
        <w:rPr>
          <w:sz w:val="20"/>
          <w:szCs w:val="20"/>
        </w:rPr>
        <w:t>cramp, especially at night. Such were the symptoms he sought an ultrasound that was positi</w:t>
      </w:r>
      <w:r w:rsidR="00D62B37" w:rsidRPr="001F5075">
        <w:rPr>
          <w:sz w:val="20"/>
          <w:szCs w:val="20"/>
        </w:rPr>
        <w:t>ve and showed a lesion &gt;5mm. This was</w:t>
      </w:r>
      <w:r w:rsidRPr="001F5075">
        <w:rPr>
          <w:sz w:val="20"/>
          <w:szCs w:val="20"/>
        </w:rPr>
        <w:t xml:space="preserve"> injected and the effect lasted as long as the local anaesthetic took to wear off. Knowing he had come to the end of his treatment plan he found a foot surgeon to undertake a dorsal approach surgery. The timeline for this whole event took from 2008</w:t>
      </w:r>
      <w:r w:rsidR="00835309" w:rsidRPr="001F5075">
        <w:rPr>
          <w:sz w:val="20"/>
          <w:szCs w:val="20"/>
        </w:rPr>
        <w:t xml:space="preserve">-2016, </w:t>
      </w:r>
      <w:r w:rsidR="00F35100">
        <w:rPr>
          <w:sz w:val="20"/>
          <w:szCs w:val="20"/>
        </w:rPr>
        <w:t xml:space="preserve">estimated as a period of </w:t>
      </w:r>
      <w:r w:rsidR="00835309" w:rsidRPr="001F5075">
        <w:rPr>
          <w:sz w:val="20"/>
          <w:szCs w:val="20"/>
        </w:rPr>
        <w:t xml:space="preserve">7 years. </w:t>
      </w:r>
      <w:r w:rsidR="00835309" w:rsidRPr="001F5075">
        <w:rPr>
          <w:b/>
          <w:i/>
          <w:sz w:val="20"/>
          <w:szCs w:val="20"/>
        </w:rPr>
        <w:t>That</w:t>
      </w:r>
      <w:r w:rsidRPr="001F5075">
        <w:rPr>
          <w:b/>
          <w:i/>
          <w:sz w:val="20"/>
          <w:szCs w:val="20"/>
        </w:rPr>
        <w:t xml:space="preserve"> patient was me</w:t>
      </w:r>
      <w:r w:rsidRPr="001F5075">
        <w:rPr>
          <w:sz w:val="20"/>
          <w:szCs w:val="20"/>
        </w:rPr>
        <w:t>.</w:t>
      </w:r>
    </w:p>
    <w:p w14:paraId="70666E78" w14:textId="77777777" w:rsidR="00F35100" w:rsidRDefault="00F35100" w:rsidP="00FB7AC1">
      <w:pPr>
        <w:ind w:left="-284" w:firstLine="1004"/>
        <w:rPr>
          <w:sz w:val="20"/>
          <w:szCs w:val="20"/>
        </w:rPr>
      </w:pPr>
    </w:p>
    <w:p w14:paraId="24A8EB47" w14:textId="786147FB" w:rsidR="00F35100" w:rsidRPr="001F5075" w:rsidRDefault="00F35100" w:rsidP="00FB7AC1">
      <w:pPr>
        <w:ind w:left="-284" w:firstLine="1004"/>
        <w:rPr>
          <w:sz w:val="20"/>
          <w:szCs w:val="20"/>
        </w:rPr>
      </w:pPr>
      <w:r>
        <w:rPr>
          <w:sz w:val="20"/>
          <w:szCs w:val="20"/>
        </w:rPr>
        <w:t>Timelines include how long a condition has been present</w:t>
      </w:r>
      <w:r w:rsidR="009F22DA">
        <w:rPr>
          <w:sz w:val="20"/>
          <w:szCs w:val="20"/>
        </w:rPr>
        <w:t xml:space="preserve"> for</w:t>
      </w:r>
      <w:r>
        <w:rPr>
          <w:sz w:val="20"/>
          <w:szCs w:val="20"/>
        </w:rPr>
        <w:t xml:space="preserve">, but also can be applied to the follow up after treatment. </w:t>
      </w:r>
      <w:r w:rsidR="009F22DA">
        <w:rPr>
          <w:b/>
          <w:sz w:val="20"/>
          <w:szCs w:val="20"/>
        </w:rPr>
        <w:t>Mahade</w:t>
      </w:r>
      <w:r w:rsidRPr="009F22DA">
        <w:rPr>
          <w:b/>
          <w:sz w:val="20"/>
          <w:szCs w:val="20"/>
        </w:rPr>
        <w:t>van et al 2016</w:t>
      </w:r>
      <w:r w:rsidR="009F22DA">
        <w:rPr>
          <w:b/>
          <w:sz w:val="20"/>
          <w:szCs w:val="20"/>
          <w:vertAlign w:val="superscript"/>
        </w:rPr>
        <w:t>2</w:t>
      </w:r>
      <w:r>
        <w:rPr>
          <w:sz w:val="20"/>
          <w:szCs w:val="20"/>
        </w:rPr>
        <w:t xml:space="preserve"> considered the cumulative failure of corticosteroid injection over 12 months. He found little difference between US guided injections and non assisted US injections. By 6 months some 38</w:t>
      </w:r>
      <w:r w:rsidR="009F22DA">
        <w:rPr>
          <w:sz w:val="20"/>
          <w:szCs w:val="20"/>
        </w:rPr>
        <w:t>-40</w:t>
      </w:r>
      <w:r>
        <w:rPr>
          <w:sz w:val="20"/>
          <w:szCs w:val="20"/>
        </w:rPr>
        <w:t>%</w:t>
      </w:r>
      <w:r w:rsidR="009F22DA">
        <w:rPr>
          <w:sz w:val="20"/>
          <w:szCs w:val="20"/>
        </w:rPr>
        <w:t xml:space="preserve"> of injections had failed. This concurs with my 1996 study of 20 years earlier. By 12 months 55% of his cohort were failing to respond. The lack of difference shown suggested that perineural placement was not as important perhaps.</w:t>
      </w:r>
    </w:p>
    <w:p w14:paraId="08CA7960" w14:textId="77777777" w:rsidR="0036505A" w:rsidRPr="001F5075" w:rsidRDefault="0036505A" w:rsidP="00FB7AC1">
      <w:pPr>
        <w:ind w:left="-284"/>
        <w:rPr>
          <w:sz w:val="20"/>
          <w:szCs w:val="20"/>
        </w:rPr>
      </w:pPr>
    </w:p>
    <w:p w14:paraId="635D733A" w14:textId="77777777" w:rsidR="00CD5841" w:rsidRPr="001F5075" w:rsidRDefault="00CD5841" w:rsidP="00FB7AC1">
      <w:pPr>
        <w:ind w:left="-284" w:firstLine="1004"/>
        <w:rPr>
          <w:sz w:val="20"/>
          <w:szCs w:val="20"/>
        </w:rPr>
      </w:pPr>
    </w:p>
    <w:p w14:paraId="3DBB3A25" w14:textId="61577EA9" w:rsidR="00CD5841" w:rsidRPr="001F5075" w:rsidRDefault="00CD5841" w:rsidP="00FB7AC1">
      <w:pPr>
        <w:pStyle w:val="IntenseQuote"/>
        <w:spacing w:before="0" w:after="0"/>
        <w:ind w:left="-284" w:right="0"/>
        <w:rPr>
          <w:i w:val="0"/>
          <w:sz w:val="20"/>
          <w:szCs w:val="20"/>
        </w:rPr>
      </w:pPr>
      <w:r w:rsidRPr="001F5075">
        <w:rPr>
          <w:i w:val="0"/>
          <w:sz w:val="20"/>
          <w:szCs w:val="20"/>
        </w:rPr>
        <w:t>The point at which deformation starts, the extent of the fibrosis and the consequent enlargement of the nerve leads to symptoms</w:t>
      </w:r>
    </w:p>
    <w:p w14:paraId="52B275A2" w14:textId="77777777" w:rsidR="00CD5841" w:rsidRDefault="00CD5841" w:rsidP="00FB7AC1">
      <w:pPr>
        <w:ind w:left="-284" w:firstLine="1004"/>
        <w:rPr>
          <w:sz w:val="22"/>
        </w:rPr>
      </w:pPr>
    </w:p>
    <w:p w14:paraId="718C49DE" w14:textId="6F38FF4B" w:rsidR="00D62B37" w:rsidRPr="001F5075" w:rsidRDefault="00D62B37" w:rsidP="00FB7AC1">
      <w:pPr>
        <w:ind w:left="-284" w:firstLine="1004"/>
        <w:rPr>
          <w:sz w:val="20"/>
          <w:szCs w:val="20"/>
        </w:rPr>
      </w:pPr>
      <w:r w:rsidRPr="001F5075">
        <w:rPr>
          <w:sz w:val="20"/>
          <w:szCs w:val="20"/>
        </w:rPr>
        <w:t>In his significant study,</w:t>
      </w:r>
      <w:r w:rsidRPr="001F5075">
        <w:rPr>
          <w:b/>
          <w:sz w:val="20"/>
          <w:szCs w:val="20"/>
        </w:rPr>
        <w:t xml:space="preserve"> Bennet</w:t>
      </w:r>
      <w:r w:rsidR="00F35100">
        <w:rPr>
          <w:b/>
          <w:sz w:val="20"/>
          <w:szCs w:val="20"/>
        </w:rPr>
        <w:t>t</w:t>
      </w:r>
      <w:r w:rsidRPr="001F5075">
        <w:rPr>
          <w:b/>
          <w:sz w:val="20"/>
          <w:szCs w:val="20"/>
        </w:rPr>
        <w:t xml:space="preserve"> et al (1995)</w:t>
      </w:r>
      <w:r w:rsidRPr="001F5075">
        <w:rPr>
          <w:sz w:val="20"/>
          <w:szCs w:val="20"/>
        </w:rPr>
        <w:t xml:space="preserve"> removed all additional conditions such as hallux valgus from his 340 cohort to end up with 115 care</w:t>
      </w:r>
      <w:r w:rsidR="00B04FB8">
        <w:rPr>
          <w:sz w:val="20"/>
          <w:szCs w:val="20"/>
        </w:rPr>
        <w:t>fully selected, pure</w:t>
      </w:r>
      <w:r w:rsidRPr="001F5075">
        <w:rPr>
          <w:sz w:val="20"/>
          <w:szCs w:val="20"/>
        </w:rPr>
        <w:t xml:space="preserve"> Morton neuroma patients. </w:t>
      </w:r>
    </w:p>
    <w:p w14:paraId="7EFFF44C" w14:textId="77777777" w:rsidR="00835309" w:rsidRPr="001F5075" w:rsidRDefault="00835309" w:rsidP="00FB7AC1">
      <w:pPr>
        <w:ind w:left="-284" w:firstLine="1004"/>
        <w:rPr>
          <w:sz w:val="20"/>
          <w:szCs w:val="20"/>
        </w:rPr>
      </w:pPr>
    </w:p>
    <w:p w14:paraId="7BAB87D4" w14:textId="7E86D981" w:rsidR="004C5947" w:rsidRDefault="009F22DA" w:rsidP="004C5947">
      <w:pPr>
        <w:ind w:left="-284" w:firstLine="1004"/>
        <w:rPr>
          <w:sz w:val="22"/>
        </w:rPr>
      </w:pPr>
      <w:r>
        <w:rPr>
          <w:sz w:val="20"/>
          <w:szCs w:val="20"/>
        </w:rPr>
        <w:t>Bennet</w:t>
      </w:r>
      <w:r w:rsidR="0036505A" w:rsidRPr="001F5075">
        <w:rPr>
          <w:sz w:val="20"/>
          <w:szCs w:val="20"/>
        </w:rPr>
        <w:t xml:space="preserve"> </w:t>
      </w:r>
      <w:r w:rsidR="00D62B37" w:rsidRPr="001F5075">
        <w:rPr>
          <w:sz w:val="20"/>
          <w:szCs w:val="20"/>
        </w:rPr>
        <w:t xml:space="preserve">probably exemplifies </w:t>
      </w:r>
      <w:r w:rsidR="00835309" w:rsidRPr="001F5075">
        <w:rPr>
          <w:sz w:val="20"/>
          <w:szCs w:val="20"/>
        </w:rPr>
        <w:t xml:space="preserve">best </w:t>
      </w:r>
      <w:r w:rsidR="00D62B37" w:rsidRPr="001F5075">
        <w:rPr>
          <w:sz w:val="20"/>
          <w:szCs w:val="20"/>
        </w:rPr>
        <w:t xml:space="preserve">the importance of </w:t>
      </w:r>
      <w:r>
        <w:rPr>
          <w:sz w:val="20"/>
          <w:szCs w:val="20"/>
        </w:rPr>
        <w:t>time</w:t>
      </w:r>
      <w:r w:rsidR="0036505A" w:rsidRPr="001F5075">
        <w:rPr>
          <w:sz w:val="20"/>
          <w:szCs w:val="20"/>
        </w:rPr>
        <w:t xml:space="preserve">lines </w:t>
      </w:r>
      <w:r w:rsidR="00D62B37" w:rsidRPr="001F5075">
        <w:rPr>
          <w:sz w:val="20"/>
          <w:szCs w:val="20"/>
        </w:rPr>
        <w:t>and demonstrates</w:t>
      </w:r>
      <w:r>
        <w:rPr>
          <w:sz w:val="20"/>
          <w:szCs w:val="20"/>
        </w:rPr>
        <w:t xml:space="preserve"> 4</w:t>
      </w:r>
      <w:r w:rsidR="0036505A" w:rsidRPr="001F5075">
        <w:rPr>
          <w:sz w:val="20"/>
          <w:szCs w:val="20"/>
        </w:rPr>
        <w:t>0% of cases report</w:t>
      </w:r>
      <w:r w:rsidR="00D62B37" w:rsidRPr="001F5075">
        <w:rPr>
          <w:sz w:val="20"/>
          <w:szCs w:val="20"/>
        </w:rPr>
        <w:t>ed</w:t>
      </w:r>
      <w:r w:rsidR="0036505A" w:rsidRPr="001F5075">
        <w:rPr>
          <w:sz w:val="20"/>
          <w:szCs w:val="20"/>
        </w:rPr>
        <w:t xml:space="preserve"> symptoms for a period above </w:t>
      </w:r>
      <w:r>
        <w:rPr>
          <w:sz w:val="20"/>
          <w:szCs w:val="20"/>
        </w:rPr>
        <w:t>1 year</w:t>
      </w:r>
      <w:r w:rsidR="0036505A" w:rsidRPr="001F5075">
        <w:rPr>
          <w:sz w:val="20"/>
          <w:szCs w:val="20"/>
        </w:rPr>
        <w:t>. If the clinical evaluation is considered reliable, (</w:t>
      </w:r>
      <w:r w:rsidR="00B0291E" w:rsidRPr="001F5075">
        <w:rPr>
          <w:sz w:val="20"/>
          <w:szCs w:val="20"/>
        </w:rPr>
        <w:t>Pastides 2014, Mahadevan 2015</w:t>
      </w:r>
      <w:r w:rsidR="0036505A" w:rsidRPr="001F5075">
        <w:rPr>
          <w:sz w:val="20"/>
          <w:szCs w:val="20"/>
        </w:rPr>
        <w:t xml:space="preserve">) </w:t>
      </w:r>
      <w:r w:rsidR="00B0291E" w:rsidRPr="001F5075">
        <w:rPr>
          <w:sz w:val="20"/>
          <w:szCs w:val="20"/>
        </w:rPr>
        <w:t>then it is reasonable that a diagnosis can be made to initiate treatment. Of all the referrals made to me by podiatrists</w:t>
      </w:r>
      <w:r w:rsidR="00835309" w:rsidRPr="001F5075">
        <w:rPr>
          <w:sz w:val="20"/>
          <w:szCs w:val="20"/>
        </w:rPr>
        <w:t>,</w:t>
      </w:r>
      <w:r w:rsidR="00B0291E" w:rsidRPr="001F5075">
        <w:rPr>
          <w:sz w:val="20"/>
          <w:szCs w:val="20"/>
        </w:rPr>
        <w:t xml:space="preserve"> majority showed positive on US and again on histological confirmation. </w:t>
      </w:r>
    </w:p>
    <w:p w14:paraId="1653360F" w14:textId="77777777" w:rsidR="004C5947" w:rsidRDefault="004C5947" w:rsidP="004C5947">
      <w:pPr>
        <w:ind w:left="-284" w:firstLine="1004"/>
        <w:rPr>
          <w:sz w:val="22"/>
        </w:rPr>
      </w:pPr>
    </w:p>
    <w:p w14:paraId="3B7B1398" w14:textId="77777777" w:rsidR="004C5947" w:rsidRDefault="004C5947" w:rsidP="00FB7AC1">
      <w:pPr>
        <w:pStyle w:val="Heading2"/>
        <w:spacing w:before="0"/>
        <w:ind w:left="-284"/>
        <w:rPr>
          <w:rFonts w:asciiTheme="minorHAnsi" w:eastAsiaTheme="minorHAnsi" w:hAnsiTheme="minorHAnsi" w:cstheme="minorBidi"/>
          <w:color w:val="auto"/>
          <w:sz w:val="22"/>
          <w:szCs w:val="24"/>
        </w:rPr>
      </w:pPr>
    </w:p>
    <w:p w14:paraId="66E32F99" w14:textId="77777777" w:rsidR="004C5947" w:rsidRPr="004C5947" w:rsidRDefault="004C5947" w:rsidP="004C5947"/>
    <w:p w14:paraId="2C4268B4" w14:textId="377A6D23" w:rsidR="00B0291E" w:rsidRPr="00835309" w:rsidRDefault="00E12F16" w:rsidP="00FB7AC1">
      <w:pPr>
        <w:pStyle w:val="Heading2"/>
        <w:spacing w:before="0"/>
        <w:ind w:left="-284"/>
        <w:rPr>
          <w:rFonts w:asciiTheme="minorHAnsi" w:hAnsiTheme="minorHAnsi"/>
          <w:b/>
          <w:sz w:val="22"/>
          <w:szCs w:val="20"/>
        </w:rPr>
      </w:pPr>
      <w:r w:rsidRPr="00835309">
        <w:rPr>
          <w:rFonts w:asciiTheme="minorHAnsi" w:hAnsiTheme="minorHAnsi"/>
          <w:b/>
          <w:sz w:val="22"/>
          <w:szCs w:val="20"/>
        </w:rPr>
        <w:t>Pathogenesis</w:t>
      </w:r>
    </w:p>
    <w:p w14:paraId="5BB99231" w14:textId="77777777" w:rsidR="00835309" w:rsidRPr="00835309" w:rsidRDefault="00835309" w:rsidP="00835309"/>
    <w:p w14:paraId="249360F8" w14:textId="6AE04AA4" w:rsidR="00251A2F" w:rsidRPr="001F5075" w:rsidRDefault="00B0291E" w:rsidP="00FB7AC1">
      <w:pPr>
        <w:ind w:left="-284" w:firstLine="1004"/>
        <w:rPr>
          <w:sz w:val="20"/>
          <w:szCs w:val="20"/>
        </w:rPr>
      </w:pPr>
      <w:r w:rsidRPr="001F5075">
        <w:rPr>
          <w:sz w:val="20"/>
          <w:szCs w:val="20"/>
        </w:rPr>
        <w:t xml:space="preserve">There has been something of a critical </w:t>
      </w:r>
      <w:r w:rsidR="00716604" w:rsidRPr="001F5075">
        <w:rPr>
          <w:sz w:val="20"/>
          <w:szCs w:val="20"/>
        </w:rPr>
        <w:t>emergence</w:t>
      </w:r>
      <w:r w:rsidRPr="001F5075">
        <w:rPr>
          <w:sz w:val="20"/>
          <w:szCs w:val="20"/>
        </w:rPr>
        <w:t xml:space="preserve"> against the accuracy of the material removed from the two key interspaces</w:t>
      </w:r>
      <w:r w:rsidR="00D62B37" w:rsidRPr="001F5075">
        <w:rPr>
          <w:sz w:val="20"/>
          <w:szCs w:val="20"/>
        </w:rPr>
        <w:t xml:space="preserve"> and examined by histopathologists</w:t>
      </w:r>
      <w:r w:rsidR="00716604" w:rsidRPr="001F5075">
        <w:rPr>
          <w:sz w:val="20"/>
          <w:szCs w:val="20"/>
        </w:rPr>
        <w:t xml:space="preserve"> (unsubstantiated)</w:t>
      </w:r>
      <w:r w:rsidRPr="001F5075">
        <w:rPr>
          <w:sz w:val="20"/>
          <w:szCs w:val="20"/>
        </w:rPr>
        <w:t xml:space="preserve">. This appears more </w:t>
      </w:r>
      <w:r w:rsidR="00785938" w:rsidRPr="001F5075">
        <w:rPr>
          <w:sz w:val="20"/>
          <w:szCs w:val="20"/>
        </w:rPr>
        <w:t xml:space="preserve">of </w:t>
      </w:r>
      <w:r w:rsidRPr="001F5075">
        <w:rPr>
          <w:sz w:val="20"/>
          <w:szCs w:val="20"/>
        </w:rPr>
        <w:t xml:space="preserve">a subjective view </w:t>
      </w:r>
      <w:r w:rsidR="00FD223B" w:rsidRPr="001F5075">
        <w:rPr>
          <w:sz w:val="20"/>
          <w:szCs w:val="20"/>
        </w:rPr>
        <w:t xml:space="preserve">seen in expert witness reports </w:t>
      </w:r>
      <w:r w:rsidR="00FD223B" w:rsidRPr="001F5075">
        <w:rPr>
          <w:b/>
          <w:sz w:val="20"/>
          <w:szCs w:val="20"/>
        </w:rPr>
        <w:t>Tollafield (2018</w:t>
      </w:r>
      <w:r w:rsidR="00CD5841" w:rsidRPr="001F5075">
        <w:rPr>
          <w:b/>
          <w:sz w:val="20"/>
          <w:szCs w:val="20"/>
        </w:rPr>
        <w:t>-1</w:t>
      </w:r>
      <w:r w:rsidR="00FD223B" w:rsidRPr="001F5075">
        <w:rPr>
          <w:b/>
          <w:sz w:val="20"/>
          <w:szCs w:val="20"/>
        </w:rPr>
        <w:t>)</w:t>
      </w:r>
      <w:r w:rsidRPr="001F5075">
        <w:rPr>
          <w:sz w:val="20"/>
          <w:szCs w:val="20"/>
        </w:rPr>
        <w:t xml:space="preserve"> </w:t>
      </w:r>
      <w:r w:rsidR="00716604" w:rsidRPr="001F5075">
        <w:rPr>
          <w:sz w:val="20"/>
          <w:szCs w:val="20"/>
        </w:rPr>
        <w:t>where an orthopaedic surgeon</w:t>
      </w:r>
      <w:r w:rsidRPr="001F5075">
        <w:rPr>
          <w:sz w:val="20"/>
          <w:szCs w:val="20"/>
        </w:rPr>
        <w:t xml:space="preserve"> </w:t>
      </w:r>
      <w:r w:rsidR="00716604" w:rsidRPr="001F5075">
        <w:rPr>
          <w:sz w:val="20"/>
          <w:szCs w:val="20"/>
        </w:rPr>
        <w:t>questioned</w:t>
      </w:r>
      <w:r w:rsidRPr="001F5075">
        <w:rPr>
          <w:sz w:val="20"/>
          <w:szCs w:val="20"/>
        </w:rPr>
        <w:t xml:space="preserve"> reliability. </w:t>
      </w:r>
      <w:r w:rsidRPr="004C5947">
        <w:rPr>
          <w:b/>
          <w:sz w:val="20"/>
          <w:szCs w:val="20"/>
        </w:rPr>
        <w:t>Mallina (2016)</w:t>
      </w:r>
      <w:r w:rsidRPr="001F5075">
        <w:rPr>
          <w:sz w:val="20"/>
          <w:szCs w:val="20"/>
        </w:rPr>
        <w:t xml:space="preserve"> certainly did not go far</w:t>
      </w:r>
      <w:r>
        <w:rPr>
          <w:sz w:val="22"/>
        </w:rPr>
        <w:t xml:space="preserve"> </w:t>
      </w:r>
      <w:r w:rsidRPr="001F5075">
        <w:rPr>
          <w:sz w:val="20"/>
          <w:szCs w:val="20"/>
        </w:rPr>
        <w:t xml:space="preserve">enough to suggest histology had no value. The presence of damaged small blood vessels and </w:t>
      </w:r>
    </w:p>
    <w:p w14:paraId="64F4CB2B" w14:textId="77777777" w:rsidR="00785938" w:rsidRPr="001F5075" w:rsidRDefault="00785938" w:rsidP="00FB7AC1">
      <w:pPr>
        <w:ind w:left="-284" w:firstLine="1004"/>
        <w:rPr>
          <w:sz w:val="20"/>
          <w:szCs w:val="20"/>
        </w:rPr>
      </w:pPr>
    </w:p>
    <w:p w14:paraId="27C75C8D" w14:textId="44FBE009" w:rsidR="00251A2F" w:rsidRPr="001F5075" w:rsidRDefault="00251A2F" w:rsidP="00FB7AC1">
      <w:pPr>
        <w:pStyle w:val="IntenseQuote"/>
        <w:spacing w:before="0" w:after="0"/>
        <w:ind w:left="-284" w:right="0"/>
        <w:rPr>
          <w:i w:val="0"/>
          <w:sz w:val="20"/>
          <w:szCs w:val="20"/>
        </w:rPr>
      </w:pPr>
      <w:r w:rsidRPr="001F5075">
        <w:rPr>
          <w:i w:val="0"/>
          <w:sz w:val="20"/>
          <w:szCs w:val="20"/>
        </w:rPr>
        <w:t xml:space="preserve">For the podiatrist, the neuroma can be better managed by conservative means than surgery </w:t>
      </w:r>
    </w:p>
    <w:p w14:paraId="0BBE74CC" w14:textId="77777777" w:rsidR="00251A2F" w:rsidRPr="001F5075" w:rsidRDefault="00251A2F" w:rsidP="00FB7AC1">
      <w:pPr>
        <w:ind w:left="-284" w:firstLine="1004"/>
        <w:rPr>
          <w:sz w:val="20"/>
          <w:szCs w:val="20"/>
        </w:rPr>
      </w:pPr>
    </w:p>
    <w:p w14:paraId="44B37BBE" w14:textId="500F86C5" w:rsidR="00785938" w:rsidRPr="001F5075" w:rsidRDefault="00B0291E" w:rsidP="00FB7AC1">
      <w:pPr>
        <w:ind w:left="-284"/>
        <w:rPr>
          <w:sz w:val="20"/>
          <w:szCs w:val="20"/>
        </w:rPr>
      </w:pPr>
      <w:r w:rsidRPr="001F5075">
        <w:rPr>
          <w:sz w:val="20"/>
          <w:szCs w:val="20"/>
        </w:rPr>
        <w:t>their lumen</w:t>
      </w:r>
      <w:r w:rsidR="00E12F16" w:rsidRPr="001F5075">
        <w:rPr>
          <w:sz w:val="20"/>
          <w:szCs w:val="20"/>
        </w:rPr>
        <w:t xml:space="preserve"> </w:t>
      </w:r>
      <w:r w:rsidR="001D2F51">
        <w:rPr>
          <w:sz w:val="20"/>
          <w:szCs w:val="20"/>
        </w:rPr>
        <w:t>does lead</w:t>
      </w:r>
      <w:r w:rsidR="00E12F16" w:rsidRPr="001F5075">
        <w:rPr>
          <w:sz w:val="20"/>
          <w:szCs w:val="20"/>
        </w:rPr>
        <w:t xml:space="preserve"> to fibrosis of the myelin sheath. Scar tissue in the foot is often the exciting cause of symptoms and accounts for lack of pliability in a nerve that has to move with the remaining foot structure. Repetitive damage, direct pressure compressing the tissue causes further damage. The point at which deformation starts, the extent of the fibrosis and the consequent enlargement of the nerve leads to </w:t>
      </w:r>
      <w:r w:rsidR="00785938" w:rsidRPr="001F5075">
        <w:rPr>
          <w:sz w:val="20"/>
          <w:szCs w:val="20"/>
        </w:rPr>
        <w:t xml:space="preserve">escalating </w:t>
      </w:r>
      <w:r w:rsidR="00E12F16" w:rsidRPr="001F5075">
        <w:rPr>
          <w:sz w:val="20"/>
          <w:szCs w:val="20"/>
        </w:rPr>
        <w:t xml:space="preserve">symptoms. </w:t>
      </w:r>
      <w:r w:rsidR="004C5947">
        <w:rPr>
          <w:sz w:val="20"/>
          <w:szCs w:val="20"/>
        </w:rPr>
        <w:t>From the evidence shown</w:t>
      </w:r>
      <w:r w:rsidR="001D2F51">
        <w:rPr>
          <w:sz w:val="20"/>
          <w:szCs w:val="20"/>
        </w:rPr>
        <w:t>,</w:t>
      </w:r>
      <w:r w:rsidR="004C5947">
        <w:rPr>
          <w:sz w:val="20"/>
          <w:szCs w:val="20"/>
        </w:rPr>
        <w:t xml:space="preserve"> failure of conservative care can </w:t>
      </w:r>
      <w:r w:rsidR="001D2F51">
        <w:rPr>
          <w:sz w:val="20"/>
          <w:szCs w:val="20"/>
        </w:rPr>
        <w:t>arise</w:t>
      </w:r>
      <w:r w:rsidR="004C5947">
        <w:rPr>
          <w:sz w:val="20"/>
          <w:szCs w:val="20"/>
        </w:rPr>
        <w:t xml:space="preserve"> between 3-6 months.</w:t>
      </w:r>
    </w:p>
    <w:p w14:paraId="51B89CBC" w14:textId="77777777" w:rsidR="00785938" w:rsidRPr="001F5075" w:rsidRDefault="00785938" w:rsidP="00FB7AC1">
      <w:pPr>
        <w:ind w:left="-284"/>
        <w:rPr>
          <w:sz w:val="20"/>
          <w:szCs w:val="20"/>
        </w:rPr>
      </w:pPr>
    </w:p>
    <w:p w14:paraId="2BD6FDAC" w14:textId="7C2CE539" w:rsidR="00E12F16" w:rsidRDefault="00785938" w:rsidP="00FB7AC1">
      <w:pPr>
        <w:ind w:left="-284"/>
        <w:rPr>
          <w:sz w:val="22"/>
        </w:rPr>
      </w:pPr>
      <w:r w:rsidRPr="001F5075">
        <w:rPr>
          <w:sz w:val="20"/>
          <w:szCs w:val="20"/>
        </w:rPr>
        <w:tab/>
      </w:r>
      <w:r w:rsidR="00E12F16" w:rsidRPr="001F5075">
        <w:rPr>
          <w:sz w:val="20"/>
          <w:szCs w:val="20"/>
        </w:rPr>
        <w:t>Structural deformity such as hallux valgus, tailor’s bunion, hammer toe deformity, footwear impingement as well as possible features associated with unstable pronation or rigid cavus will add to the problem. The predilection for the female foot attest</w:t>
      </w:r>
      <w:r w:rsidRPr="001F5075">
        <w:rPr>
          <w:sz w:val="20"/>
          <w:szCs w:val="20"/>
        </w:rPr>
        <w:t>s</w:t>
      </w:r>
      <w:r w:rsidR="00E12F16" w:rsidRPr="001F5075">
        <w:rPr>
          <w:sz w:val="20"/>
          <w:szCs w:val="20"/>
        </w:rPr>
        <w:t xml:space="preserve"> to a greater likelihood of footwear being a prime causation. Trauma and injury through activity suggests another reason and would fit in with the case history highlighted</w:t>
      </w:r>
      <w:r w:rsidR="00E12F16">
        <w:rPr>
          <w:sz w:val="22"/>
        </w:rPr>
        <w:t xml:space="preserve">. </w:t>
      </w:r>
    </w:p>
    <w:p w14:paraId="6FA47791" w14:textId="77777777" w:rsidR="002D5841" w:rsidRDefault="002D5841" w:rsidP="00FB7AC1">
      <w:pPr>
        <w:pStyle w:val="Heading1"/>
        <w:spacing w:before="0"/>
        <w:ind w:left="-284"/>
        <w:rPr>
          <w:sz w:val="24"/>
          <w:szCs w:val="24"/>
        </w:rPr>
      </w:pPr>
    </w:p>
    <w:p w14:paraId="1744EA5E" w14:textId="2D340107" w:rsidR="008A1677" w:rsidRPr="00342659" w:rsidRDefault="008A1677" w:rsidP="00FB7AC1">
      <w:pPr>
        <w:pStyle w:val="Heading1"/>
        <w:spacing w:before="0"/>
        <w:ind w:left="-284"/>
        <w:rPr>
          <w:rFonts w:asciiTheme="minorHAnsi" w:hAnsiTheme="minorHAnsi"/>
          <w:b/>
          <w:color w:val="000000" w:themeColor="text1"/>
          <w:sz w:val="28"/>
          <w:szCs w:val="24"/>
        </w:rPr>
      </w:pPr>
      <w:r w:rsidRPr="00342659">
        <w:rPr>
          <w:rFonts w:asciiTheme="minorHAnsi" w:hAnsiTheme="minorHAnsi"/>
          <w:b/>
          <w:color w:val="000000" w:themeColor="text1"/>
          <w:sz w:val="28"/>
          <w:szCs w:val="24"/>
        </w:rPr>
        <w:t>Staged treatment</w:t>
      </w:r>
    </w:p>
    <w:p w14:paraId="49DFE3D3" w14:textId="77777777" w:rsidR="008A1677" w:rsidRDefault="008A1677" w:rsidP="00FB7AC1">
      <w:pPr>
        <w:ind w:left="-284"/>
        <w:rPr>
          <w:sz w:val="22"/>
        </w:rPr>
      </w:pPr>
    </w:p>
    <w:p w14:paraId="1BE6A883" w14:textId="77777777" w:rsidR="008A1677" w:rsidRPr="001F5075" w:rsidRDefault="008A1677" w:rsidP="00FB7AC1">
      <w:pPr>
        <w:pStyle w:val="Heading3"/>
        <w:spacing w:before="0"/>
        <w:ind w:left="-284"/>
        <w:rPr>
          <w:rFonts w:asciiTheme="minorHAnsi" w:hAnsiTheme="minorHAnsi"/>
          <w:b/>
          <w:i/>
          <w:color w:val="000000" w:themeColor="text1"/>
          <w:sz w:val="20"/>
          <w:szCs w:val="20"/>
        </w:rPr>
      </w:pPr>
      <w:r w:rsidRPr="001F5075">
        <w:rPr>
          <w:rFonts w:asciiTheme="minorHAnsi" w:hAnsiTheme="minorHAnsi"/>
          <w:b/>
          <w:i/>
          <w:color w:val="000000" w:themeColor="text1"/>
          <w:sz w:val="20"/>
          <w:szCs w:val="20"/>
        </w:rPr>
        <w:t>Conservative care</w:t>
      </w:r>
    </w:p>
    <w:p w14:paraId="1A9AC0A2" w14:textId="5A9968D1" w:rsidR="008A1677" w:rsidRPr="001F5075" w:rsidRDefault="00E12F16" w:rsidP="00FB7AC1">
      <w:pPr>
        <w:ind w:left="-284" w:firstLine="1004"/>
        <w:rPr>
          <w:sz w:val="20"/>
          <w:szCs w:val="20"/>
        </w:rPr>
      </w:pPr>
      <w:r w:rsidRPr="001F5075">
        <w:rPr>
          <w:sz w:val="20"/>
          <w:szCs w:val="20"/>
        </w:rPr>
        <w:t>The use of padding and footwear make absolute sense and Bennet</w:t>
      </w:r>
      <w:r w:rsidR="00634E47">
        <w:rPr>
          <w:sz w:val="20"/>
          <w:szCs w:val="20"/>
        </w:rPr>
        <w:t>t</w:t>
      </w:r>
      <w:r w:rsidRPr="001F5075">
        <w:rPr>
          <w:sz w:val="20"/>
          <w:szCs w:val="20"/>
        </w:rPr>
        <w:t xml:space="preserve"> used this on a selected group of 115 patients with pure neuroma symptoms, 23% had bilateral neuromata. Fifty-seven </w:t>
      </w:r>
      <w:r w:rsidR="00716604" w:rsidRPr="001F5075">
        <w:rPr>
          <w:sz w:val="20"/>
          <w:szCs w:val="20"/>
        </w:rPr>
        <w:t xml:space="preserve">patients </w:t>
      </w:r>
      <w:r w:rsidRPr="001F5075">
        <w:rPr>
          <w:sz w:val="20"/>
          <w:szCs w:val="20"/>
        </w:rPr>
        <w:t xml:space="preserve">responded to conservative (orthotic/footwear education). Those who had had the lesion </w:t>
      </w:r>
      <w:r w:rsidR="00067286" w:rsidRPr="001F5075">
        <w:rPr>
          <w:sz w:val="20"/>
          <w:szCs w:val="20"/>
        </w:rPr>
        <w:t xml:space="preserve">for </w:t>
      </w:r>
      <w:r w:rsidRPr="001F5075">
        <w:rPr>
          <w:sz w:val="20"/>
          <w:szCs w:val="20"/>
        </w:rPr>
        <w:t>more than a year did less well than those who had treatment within a y</w:t>
      </w:r>
      <w:r w:rsidR="00067286" w:rsidRPr="001F5075">
        <w:rPr>
          <w:sz w:val="20"/>
          <w:szCs w:val="20"/>
        </w:rPr>
        <w:t xml:space="preserve">ear. </w:t>
      </w:r>
      <w:r w:rsidR="00901816" w:rsidRPr="001F5075">
        <w:rPr>
          <w:sz w:val="20"/>
          <w:szCs w:val="20"/>
        </w:rPr>
        <w:t>Seven</w:t>
      </w:r>
      <w:r w:rsidR="00067286" w:rsidRPr="001F5075">
        <w:rPr>
          <w:sz w:val="20"/>
          <w:szCs w:val="20"/>
        </w:rPr>
        <w:t xml:space="preserve"> percent did not improve and ex</w:t>
      </w:r>
      <w:r w:rsidRPr="001F5075">
        <w:rPr>
          <w:sz w:val="20"/>
          <w:szCs w:val="20"/>
        </w:rPr>
        <w:t xml:space="preserve">ited the study. </w:t>
      </w:r>
      <w:r w:rsidR="004C5947">
        <w:rPr>
          <w:sz w:val="20"/>
          <w:szCs w:val="20"/>
        </w:rPr>
        <w:t>Forty-percent improved.</w:t>
      </w:r>
    </w:p>
    <w:p w14:paraId="58DF0EEF" w14:textId="77777777" w:rsidR="008A1677" w:rsidRDefault="008A1677" w:rsidP="00FB7AC1">
      <w:pPr>
        <w:ind w:left="-284"/>
        <w:rPr>
          <w:sz w:val="22"/>
        </w:rPr>
      </w:pPr>
    </w:p>
    <w:p w14:paraId="1F39C0E2" w14:textId="4F62F004" w:rsidR="008A1677" w:rsidRPr="001F5075" w:rsidRDefault="008A1677" w:rsidP="00FB7AC1">
      <w:pPr>
        <w:pStyle w:val="Heading3"/>
        <w:spacing w:before="0"/>
        <w:ind w:left="-284"/>
        <w:rPr>
          <w:rFonts w:asciiTheme="minorHAnsi" w:hAnsiTheme="minorHAnsi"/>
          <w:b/>
          <w:i/>
          <w:color w:val="000000" w:themeColor="text1"/>
          <w:sz w:val="20"/>
          <w:szCs w:val="20"/>
        </w:rPr>
      </w:pPr>
      <w:r w:rsidRPr="001F5075">
        <w:rPr>
          <w:rFonts w:asciiTheme="minorHAnsi" w:hAnsiTheme="minorHAnsi"/>
          <w:b/>
          <w:i/>
          <w:color w:val="000000" w:themeColor="text1"/>
          <w:sz w:val="20"/>
          <w:szCs w:val="20"/>
        </w:rPr>
        <w:t>Steroid</w:t>
      </w:r>
    </w:p>
    <w:p w14:paraId="71CE8427" w14:textId="4A570B24" w:rsidR="00E12F16" w:rsidRPr="001F5075" w:rsidRDefault="00067286" w:rsidP="00FB7AC1">
      <w:pPr>
        <w:ind w:left="-284" w:firstLine="1004"/>
        <w:rPr>
          <w:sz w:val="20"/>
          <w:szCs w:val="20"/>
        </w:rPr>
      </w:pPr>
      <w:r w:rsidRPr="001F5075">
        <w:rPr>
          <w:sz w:val="20"/>
          <w:szCs w:val="20"/>
        </w:rPr>
        <w:t>Conservative t</w:t>
      </w:r>
      <w:r w:rsidR="00E12F16" w:rsidRPr="001F5075">
        <w:rPr>
          <w:sz w:val="20"/>
          <w:szCs w:val="20"/>
        </w:rPr>
        <w:t xml:space="preserve">reatment was continued for three months and then changed to an injection. </w:t>
      </w:r>
      <w:r w:rsidRPr="001F5075">
        <w:rPr>
          <w:sz w:val="20"/>
          <w:szCs w:val="20"/>
        </w:rPr>
        <w:t xml:space="preserve">A </w:t>
      </w:r>
      <w:r w:rsidR="00E12F16" w:rsidRPr="001F5075">
        <w:rPr>
          <w:sz w:val="20"/>
          <w:szCs w:val="20"/>
        </w:rPr>
        <w:t xml:space="preserve">steroid injection </w:t>
      </w:r>
      <w:r w:rsidR="008A1677" w:rsidRPr="001F5075">
        <w:rPr>
          <w:sz w:val="20"/>
          <w:szCs w:val="20"/>
        </w:rPr>
        <w:t xml:space="preserve">was </w:t>
      </w:r>
      <w:r w:rsidRPr="001F5075">
        <w:rPr>
          <w:sz w:val="20"/>
          <w:szCs w:val="20"/>
        </w:rPr>
        <w:t xml:space="preserve">provided and review </w:t>
      </w:r>
      <w:r w:rsidR="008A1677" w:rsidRPr="001F5075">
        <w:rPr>
          <w:sz w:val="20"/>
          <w:szCs w:val="20"/>
        </w:rPr>
        <w:t xml:space="preserve">set once more at three months. </w:t>
      </w:r>
      <w:r w:rsidR="004C5947">
        <w:rPr>
          <w:sz w:val="20"/>
          <w:szCs w:val="20"/>
        </w:rPr>
        <w:t xml:space="preserve">Some 50% improved. </w:t>
      </w:r>
      <w:r w:rsidR="008A1677" w:rsidRPr="001F5075">
        <w:rPr>
          <w:sz w:val="20"/>
          <w:szCs w:val="20"/>
        </w:rPr>
        <w:t>The second cohort did well leaving 21% (24) of the original group without satisfactory</w:t>
      </w:r>
      <w:r w:rsidRPr="001F5075">
        <w:rPr>
          <w:sz w:val="20"/>
          <w:szCs w:val="20"/>
        </w:rPr>
        <w:t xml:space="preserve"> benefit. Again a group of 12% ex</w:t>
      </w:r>
      <w:r w:rsidR="008A1677" w:rsidRPr="001F5075">
        <w:rPr>
          <w:sz w:val="20"/>
          <w:szCs w:val="20"/>
        </w:rPr>
        <w:t>ited the study not wishing for further treatment.</w:t>
      </w:r>
    </w:p>
    <w:p w14:paraId="27E86BF2" w14:textId="77777777" w:rsidR="008A1677" w:rsidRPr="001F5075" w:rsidRDefault="008A1677" w:rsidP="00FB7AC1">
      <w:pPr>
        <w:ind w:left="-284"/>
        <w:rPr>
          <w:sz w:val="20"/>
          <w:szCs w:val="20"/>
        </w:rPr>
      </w:pPr>
    </w:p>
    <w:p w14:paraId="0385FAEF" w14:textId="61F9E651" w:rsidR="008A1677" w:rsidRPr="004C5947" w:rsidRDefault="008A1677" w:rsidP="00FB7AC1">
      <w:pPr>
        <w:pStyle w:val="Heading3"/>
        <w:spacing w:before="0"/>
        <w:ind w:left="-284"/>
        <w:rPr>
          <w:rFonts w:asciiTheme="minorHAnsi" w:hAnsiTheme="minorHAnsi"/>
          <w:b/>
          <w:i/>
          <w:color w:val="000000" w:themeColor="text1"/>
          <w:sz w:val="20"/>
          <w:szCs w:val="20"/>
        </w:rPr>
      </w:pPr>
      <w:r w:rsidRPr="004C5947">
        <w:rPr>
          <w:rFonts w:asciiTheme="minorHAnsi" w:hAnsiTheme="minorHAnsi"/>
          <w:b/>
          <w:i/>
          <w:color w:val="000000" w:themeColor="text1"/>
          <w:sz w:val="20"/>
          <w:szCs w:val="20"/>
        </w:rPr>
        <w:t>Surgery</w:t>
      </w:r>
    </w:p>
    <w:p w14:paraId="20CD86AC" w14:textId="08534F87" w:rsidR="00901816" w:rsidRPr="001F5075" w:rsidRDefault="00901816" w:rsidP="00FB7AC1">
      <w:pPr>
        <w:ind w:left="-284" w:firstLine="1004"/>
        <w:rPr>
          <w:sz w:val="20"/>
          <w:szCs w:val="20"/>
        </w:rPr>
      </w:pPr>
      <w:r w:rsidRPr="001F5075">
        <w:rPr>
          <w:sz w:val="20"/>
          <w:szCs w:val="20"/>
        </w:rPr>
        <w:t>A d</w:t>
      </w:r>
      <w:r w:rsidR="008A1677" w:rsidRPr="001F5075">
        <w:rPr>
          <w:sz w:val="20"/>
          <w:szCs w:val="20"/>
        </w:rPr>
        <w:t>orsal approach with excision of the neuroma was effective for all but 1 patient</w:t>
      </w:r>
      <w:r w:rsidRPr="001F5075">
        <w:rPr>
          <w:sz w:val="20"/>
          <w:szCs w:val="20"/>
        </w:rPr>
        <w:t xml:space="preserve"> (4%)</w:t>
      </w:r>
      <w:r w:rsidR="008A1677" w:rsidRPr="001F5075">
        <w:rPr>
          <w:sz w:val="20"/>
          <w:szCs w:val="20"/>
        </w:rPr>
        <w:t>.</w:t>
      </w:r>
      <w:r w:rsidR="004C5947">
        <w:rPr>
          <w:sz w:val="20"/>
          <w:szCs w:val="20"/>
        </w:rPr>
        <w:t xml:space="preserve"> This gave a 96% improvement with surgery. Overall however 85% had improved with all of the staged treatment.</w:t>
      </w:r>
      <w:r w:rsidR="008A1677" w:rsidRPr="001F5075">
        <w:rPr>
          <w:sz w:val="20"/>
          <w:szCs w:val="20"/>
        </w:rPr>
        <w:t xml:space="preserve"> </w:t>
      </w:r>
    </w:p>
    <w:p w14:paraId="5AF74C2D" w14:textId="77777777" w:rsidR="00342659" w:rsidRPr="00342659" w:rsidRDefault="00342659" w:rsidP="00342659"/>
    <w:p w14:paraId="4CA30C8C" w14:textId="26253A4B" w:rsidR="00901816" w:rsidRPr="00342659" w:rsidRDefault="00901816" w:rsidP="00FB7AC1">
      <w:pPr>
        <w:pStyle w:val="Heading2"/>
        <w:spacing w:before="0"/>
        <w:ind w:left="-284"/>
        <w:rPr>
          <w:rFonts w:asciiTheme="minorHAnsi" w:hAnsiTheme="minorHAnsi"/>
          <w:b/>
          <w:color w:val="000000" w:themeColor="text1"/>
          <w:sz w:val="24"/>
        </w:rPr>
      </w:pPr>
      <w:r w:rsidRPr="00342659">
        <w:rPr>
          <w:rFonts w:asciiTheme="minorHAnsi" w:hAnsiTheme="minorHAnsi"/>
          <w:b/>
          <w:color w:val="000000" w:themeColor="text1"/>
          <w:sz w:val="24"/>
        </w:rPr>
        <w:t>Difference in timelines</w:t>
      </w:r>
    </w:p>
    <w:p w14:paraId="6C6DD576" w14:textId="77777777" w:rsidR="00901816" w:rsidRDefault="00901816" w:rsidP="00FB7AC1">
      <w:pPr>
        <w:ind w:left="-284" w:firstLine="1004"/>
        <w:rPr>
          <w:sz w:val="22"/>
        </w:rPr>
      </w:pPr>
    </w:p>
    <w:p w14:paraId="45F84EF5" w14:textId="38EC41C1" w:rsidR="008A1677" w:rsidRPr="001F5075" w:rsidRDefault="008A1677" w:rsidP="00FB7AC1">
      <w:pPr>
        <w:ind w:left="-284" w:firstLine="1004"/>
        <w:rPr>
          <w:sz w:val="20"/>
        </w:rPr>
      </w:pPr>
      <w:r w:rsidRPr="001F5075">
        <w:rPr>
          <w:sz w:val="20"/>
        </w:rPr>
        <w:t xml:space="preserve">As with conservative care and steroid, the period of time above 1 year showed less response than if treatment occurred within the </w:t>
      </w:r>
      <w:r w:rsidR="005736F6" w:rsidRPr="001F5075">
        <w:rPr>
          <w:sz w:val="20"/>
        </w:rPr>
        <w:t>12 months</w:t>
      </w:r>
      <w:r w:rsidRPr="001F5075">
        <w:rPr>
          <w:sz w:val="20"/>
        </w:rPr>
        <w:t>.</w:t>
      </w:r>
      <w:r w:rsidR="00901816" w:rsidRPr="001F5075">
        <w:rPr>
          <w:sz w:val="20"/>
        </w:rPr>
        <w:t xml:space="preserve"> For conservative care the difference was </w:t>
      </w:r>
      <w:r w:rsidR="005736F6" w:rsidRPr="001F5075">
        <w:rPr>
          <w:sz w:val="20"/>
        </w:rPr>
        <w:t xml:space="preserve">smaller at </w:t>
      </w:r>
      <w:r w:rsidR="00901816" w:rsidRPr="001F5075">
        <w:rPr>
          <w:sz w:val="20"/>
        </w:rPr>
        <w:t>4%, steroid and surgery 8% exemplifying those who responded did better when treated earlier</w:t>
      </w:r>
      <w:r w:rsidR="005736F6" w:rsidRPr="001F5075">
        <w:rPr>
          <w:sz w:val="20"/>
        </w:rPr>
        <w:t xml:space="preserve">. </w:t>
      </w:r>
    </w:p>
    <w:p w14:paraId="551DE828" w14:textId="77777777" w:rsidR="00CD5841" w:rsidRDefault="00CD5841" w:rsidP="00FB7AC1">
      <w:pPr>
        <w:pStyle w:val="Heading1"/>
        <w:spacing w:before="0"/>
        <w:ind w:left="-284"/>
        <w:rPr>
          <w:b/>
          <w:sz w:val="24"/>
        </w:rPr>
      </w:pPr>
    </w:p>
    <w:p w14:paraId="783F21AA" w14:textId="3B7AC9A0" w:rsidR="008A1677" w:rsidRPr="00342659" w:rsidRDefault="008A1677" w:rsidP="00FB7AC1">
      <w:pPr>
        <w:pStyle w:val="Heading1"/>
        <w:spacing w:before="0"/>
        <w:ind w:left="-284"/>
        <w:rPr>
          <w:rFonts w:asciiTheme="minorHAnsi" w:hAnsiTheme="minorHAnsi"/>
          <w:b/>
          <w:color w:val="000000" w:themeColor="text1"/>
          <w:sz w:val="28"/>
        </w:rPr>
      </w:pPr>
      <w:r w:rsidRPr="00342659">
        <w:rPr>
          <w:rFonts w:asciiTheme="minorHAnsi" w:hAnsiTheme="minorHAnsi"/>
          <w:b/>
          <w:color w:val="000000" w:themeColor="text1"/>
          <w:sz w:val="28"/>
        </w:rPr>
        <w:t>Learning (Conclusion</w:t>
      </w:r>
      <w:r w:rsidR="00394F57" w:rsidRPr="00342659">
        <w:rPr>
          <w:rFonts w:asciiTheme="minorHAnsi" w:hAnsiTheme="minorHAnsi"/>
          <w:b/>
          <w:color w:val="000000" w:themeColor="text1"/>
          <w:sz w:val="28"/>
        </w:rPr>
        <w:t xml:space="preserve"> with discussion</w:t>
      </w:r>
      <w:r w:rsidRPr="00342659">
        <w:rPr>
          <w:rFonts w:asciiTheme="minorHAnsi" w:hAnsiTheme="minorHAnsi"/>
          <w:b/>
          <w:color w:val="000000" w:themeColor="text1"/>
          <w:sz w:val="28"/>
        </w:rPr>
        <w:t>)</w:t>
      </w:r>
    </w:p>
    <w:p w14:paraId="28FB61FB" w14:textId="77777777" w:rsidR="008A1677" w:rsidRDefault="008A1677" w:rsidP="00FB7AC1">
      <w:pPr>
        <w:ind w:left="-284"/>
        <w:rPr>
          <w:sz w:val="22"/>
        </w:rPr>
      </w:pPr>
    </w:p>
    <w:p w14:paraId="141ACFEE" w14:textId="7EB21831" w:rsidR="005736F6" w:rsidRDefault="008A1677" w:rsidP="00FB7AC1">
      <w:pPr>
        <w:ind w:left="-284" w:firstLine="1004"/>
        <w:rPr>
          <w:sz w:val="20"/>
          <w:szCs w:val="20"/>
        </w:rPr>
      </w:pPr>
      <w:r w:rsidRPr="001F5075">
        <w:rPr>
          <w:sz w:val="20"/>
          <w:szCs w:val="20"/>
        </w:rPr>
        <w:t>Surgery is no longer the only treatment</w:t>
      </w:r>
      <w:r w:rsidR="00A77FD9" w:rsidRPr="001F5075">
        <w:rPr>
          <w:sz w:val="20"/>
          <w:szCs w:val="20"/>
        </w:rPr>
        <w:t xml:space="preserve"> for neuroma</w:t>
      </w:r>
      <w:r w:rsidRPr="001F5075">
        <w:rPr>
          <w:sz w:val="20"/>
          <w:szCs w:val="20"/>
        </w:rPr>
        <w:t>. Cryosurgery, injections of alcohol, ligament release and radiofrequency ablation are all performed</w:t>
      </w:r>
      <w:r w:rsidR="00A77FD9" w:rsidRPr="001F5075">
        <w:rPr>
          <w:sz w:val="20"/>
          <w:szCs w:val="20"/>
        </w:rPr>
        <w:t xml:space="preserve"> but invasive treatment should be reserved for those whose lives are affected</w:t>
      </w:r>
      <w:r w:rsidR="001D2F51">
        <w:rPr>
          <w:sz w:val="20"/>
          <w:szCs w:val="20"/>
        </w:rPr>
        <w:t xml:space="preserve"> adversely</w:t>
      </w:r>
      <w:r w:rsidRPr="001F5075">
        <w:rPr>
          <w:sz w:val="20"/>
          <w:szCs w:val="20"/>
        </w:rPr>
        <w:t xml:space="preserve">. </w:t>
      </w:r>
    </w:p>
    <w:p w14:paraId="4016F79B" w14:textId="77777777" w:rsidR="0055047A" w:rsidRPr="001F5075" w:rsidRDefault="0055047A" w:rsidP="00FB7AC1">
      <w:pPr>
        <w:ind w:left="-284" w:firstLine="1004"/>
        <w:rPr>
          <w:sz w:val="20"/>
          <w:szCs w:val="20"/>
        </w:rPr>
      </w:pPr>
    </w:p>
    <w:p w14:paraId="3A691804" w14:textId="159CBED8" w:rsidR="00785938" w:rsidRPr="001F5075" w:rsidRDefault="00A77FD9" w:rsidP="00FB7AC1">
      <w:pPr>
        <w:ind w:left="-284" w:firstLine="1004"/>
        <w:rPr>
          <w:sz w:val="20"/>
          <w:szCs w:val="20"/>
        </w:rPr>
      </w:pPr>
      <w:r w:rsidRPr="001F5075">
        <w:rPr>
          <w:sz w:val="20"/>
          <w:szCs w:val="20"/>
        </w:rPr>
        <w:t xml:space="preserve">The </w:t>
      </w:r>
      <w:hyperlink r:id="rId14" w:history="1">
        <w:r w:rsidRPr="001F5075">
          <w:rPr>
            <w:rStyle w:val="Hyperlink"/>
            <w:sz w:val="20"/>
            <w:szCs w:val="20"/>
          </w:rPr>
          <w:t>Manchester-Oxford Foot Health Questionnaire</w:t>
        </w:r>
      </w:hyperlink>
      <w:r w:rsidRPr="001F5075">
        <w:rPr>
          <w:sz w:val="20"/>
          <w:szCs w:val="20"/>
        </w:rPr>
        <w:t xml:space="preserve"> is a useful reminder of the impact upon patients for three domains. Pain, social impact and walking. The MOXFQ was found to be of sig</w:t>
      </w:r>
      <w:r w:rsidR="00FD223B" w:rsidRPr="001F5075">
        <w:rPr>
          <w:sz w:val="20"/>
          <w:szCs w:val="20"/>
        </w:rPr>
        <w:t xml:space="preserve">nificant value in a legal case, </w:t>
      </w:r>
      <w:r w:rsidRPr="001F5075">
        <w:rPr>
          <w:b/>
          <w:sz w:val="20"/>
          <w:szCs w:val="20"/>
        </w:rPr>
        <w:t>Tollafield</w:t>
      </w:r>
      <w:r w:rsidR="00FD223B" w:rsidRPr="001F5075">
        <w:rPr>
          <w:b/>
          <w:sz w:val="20"/>
          <w:szCs w:val="20"/>
        </w:rPr>
        <w:t xml:space="preserve"> (</w:t>
      </w:r>
      <w:r w:rsidRPr="001F5075">
        <w:rPr>
          <w:b/>
          <w:sz w:val="20"/>
          <w:szCs w:val="20"/>
        </w:rPr>
        <w:t>2018</w:t>
      </w:r>
      <w:r w:rsidR="00CD5841" w:rsidRPr="001F5075">
        <w:rPr>
          <w:b/>
          <w:sz w:val="20"/>
          <w:szCs w:val="20"/>
        </w:rPr>
        <w:t>-2</w:t>
      </w:r>
      <w:r w:rsidRPr="001F5075">
        <w:rPr>
          <w:b/>
          <w:sz w:val="20"/>
          <w:szCs w:val="20"/>
        </w:rPr>
        <w:t>)</w:t>
      </w:r>
      <w:r w:rsidR="005736F6" w:rsidRPr="001F5075">
        <w:rPr>
          <w:sz w:val="20"/>
          <w:szCs w:val="20"/>
        </w:rPr>
        <w:t xml:space="preserve"> but also provided</w:t>
      </w:r>
      <w:r w:rsidRPr="001F5075">
        <w:rPr>
          <w:sz w:val="20"/>
          <w:szCs w:val="20"/>
        </w:rPr>
        <w:t xml:space="preserve"> a baseline assessment of how the patient might perceive pain and the effect of the condition.</w:t>
      </w:r>
    </w:p>
    <w:p w14:paraId="4A961EEA" w14:textId="77777777" w:rsidR="00785938" w:rsidRPr="001F5075" w:rsidRDefault="00785938" w:rsidP="00FB7AC1">
      <w:pPr>
        <w:ind w:left="-284" w:firstLine="1004"/>
        <w:rPr>
          <w:sz w:val="20"/>
          <w:szCs w:val="20"/>
        </w:rPr>
      </w:pPr>
    </w:p>
    <w:p w14:paraId="25DF8C5C" w14:textId="7F1EB3A6" w:rsidR="0055047A" w:rsidRDefault="0095301E" w:rsidP="00723EB5">
      <w:pPr>
        <w:ind w:left="-284" w:firstLine="1004"/>
        <w:rPr>
          <w:sz w:val="20"/>
          <w:szCs w:val="20"/>
        </w:rPr>
      </w:pPr>
      <w:r w:rsidRPr="001F5075">
        <w:rPr>
          <w:sz w:val="20"/>
          <w:szCs w:val="20"/>
        </w:rPr>
        <w:t>At the time of writing, n</w:t>
      </w:r>
      <w:r w:rsidR="008A1677" w:rsidRPr="001F5075">
        <w:rPr>
          <w:sz w:val="20"/>
          <w:szCs w:val="20"/>
        </w:rPr>
        <w:t>o single study since Bennet</w:t>
      </w:r>
      <w:r w:rsidR="004C5947">
        <w:rPr>
          <w:sz w:val="20"/>
          <w:szCs w:val="20"/>
        </w:rPr>
        <w:t>t</w:t>
      </w:r>
      <w:r w:rsidR="008A1677" w:rsidRPr="001F5075">
        <w:rPr>
          <w:sz w:val="20"/>
          <w:szCs w:val="20"/>
        </w:rPr>
        <w:t xml:space="preserve"> has shown the effect of an intell</w:t>
      </w:r>
      <w:r w:rsidR="00A77FD9" w:rsidRPr="001F5075">
        <w:rPr>
          <w:sz w:val="20"/>
          <w:szCs w:val="20"/>
        </w:rPr>
        <w:t>igent use of staging treatment</w:t>
      </w:r>
      <w:r w:rsidR="005736F6" w:rsidRPr="001F5075">
        <w:rPr>
          <w:sz w:val="20"/>
          <w:szCs w:val="20"/>
        </w:rPr>
        <w:t xml:space="preserve"> or evaluating </w:t>
      </w:r>
      <w:r w:rsidR="00A77FD9" w:rsidRPr="001F5075">
        <w:rPr>
          <w:sz w:val="20"/>
          <w:szCs w:val="20"/>
        </w:rPr>
        <w:t>the effect of each type of management</w:t>
      </w:r>
      <w:r w:rsidR="005736F6" w:rsidRPr="001F5075">
        <w:rPr>
          <w:sz w:val="20"/>
          <w:szCs w:val="20"/>
        </w:rPr>
        <w:t xml:space="preserve"> with a systematic method</w:t>
      </w:r>
      <w:r w:rsidR="00A77FD9" w:rsidRPr="001F5075">
        <w:rPr>
          <w:sz w:val="20"/>
          <w:szCs w:val="20"/>
        </w:rPr>
        <w:t>.</w:t>
      </w:r>
      <w:r w:rsidR="0055047A">
        <w:rPr>
          <w:sz w:val="20"/>
          <w:szCs w:val="20"/>
        </w:rPr>
        <w:t xml:space="preserve"> </w:t>
      </w:r>
      <w:r w:rsidR="0055047A" w:rsidRPr="0055047A">
        <w:rPr>
          <w:b/>
          <w:sz w:val="20"/>
          <w:szCs w:val="20"/>
        </w:rPr>
        <w:t>M</w:t>
      </w:r>
      <w:r w:rsidR="0055047A">
        <w:rPr>
          <w:b/>
          <w:sz w:val="20"/>
          <w:szCs w:val="20"/>
        </w:rPr>
        <w:t>atthews</w:t>
      </w:r>
      <w:r w:rsidR="00602C2B">
        <w:rPr>
          <w:b/>
          <w:sz w:val="20"/>
          <w:szCs w:val="20"/>
        </w:rPr>
        <w:t>, B</w:t>
      </w:r>
      <w:r w:rsidR="0055047A">
        <w:rPr>
          <w:b/>
          <w:sz w:val="20"/>
          <w:szCs w:val="20"/>
        </w:rPr>
        <w:t xml:space="preserve"> et al</w:t>
      </w:r>
      <w:r w:rsidR="0055047A" w:rsidRPr="0055047A">
        <w:rPr>
          <w:b/>
          <w:sz w:val="20"/>
          <w:szCs w:val="20"/>
        </w:rPr>
        <w:t xml:space="preserve"> 2019</w:t>
      </w:r>
      <w:r w:rsidR="0055047A">
        <w:rPr>
          <w:sz w:val="20"/>
          <w:szCs w:val="20"/>
        </w:rPr>
        <w:t xml:space="preserve"> points out the limits imposed when reviewing conservative – non-surgical methods due to the lack of robust evidence to include such approaches to neuroma management. This does not mean non surgical methods should be excluded provided that criteria to implement any strategy considered the length of symptoms, size of symptomatic neuroma and patient’s expectations.</w:t>
      </w:r>
    </w:p>
    <w:p w14:paraId="1DA15206" w14:textId="77777777" w:rsidR="0055047A" w:rsidRDefault="0055047A" w:rsidP="00723EB5">
      <w:pPr>
        <w:ind w:left="-284" w:firstLine="1004"/>
        <w:rPr>
          <w:sz w:val="20"/>
          <w:szCs w:val="20"/>
        </w:rPr>
      </w:pPr>
    </w:p>
    <w:p w14:paraId="452938E4" w14:textId="0C185C80" w:rsidR="00A77FD9" w:rsidRPr="001F5075" w:rsidRDefault="00A77FD9" w:rsidP="00723EB5">
      <w:pPr>
        <w:ind w:left="-284" w:firstLine="1004"/>
        <w:rPr>
          <w:sz w:val="20"/>
          <w:szCs w:val="20"/>
        </w:rPr>
      </w:pPr>
      <w:r w:rsidRPr="001F5075">
        <w:rPr>
          <w:sz w:val="20"/>
          <w:szCs w:val="20"/>
        </w:rPr>
        <w:t xml:space="preserve"> Podiatry is unique as it has the primary role of ensuring improved mobility through foot health management. </w:t>
      </w:r>
      <w:r w:rsidRPr="001F5075">
        <w:rPr>
          <w:b/>
          <w:i/>
          <w:sz w:val="20"/>
          <w:szCs w:val="20"/>
        </w:rPr>
        <w:t>Identifying pain, preventing tissue deterioration and improving structural deformity</w:t>
      </w:r>
      <w:r w:rsidRPr="001F5075">
        <w:rPr>
          <w:sz w:val="20"/>
          <w:szCs w:val="20"/>
        </w:rPr>
        <w:t xml:space="preserve"> are the three tenets of podiatric treatment leading to improved mobility</w:t>
      </w:r>
      <w:r w:rsidR="0095301E" w:rsidRPr="001F5075">
        <w:rPr>
          <w:sz w:val="20"/>
          <w:szCs w:val="20"/>
        </w:rPr>
        <w:t xml:space="preserve"> (Tollafield 1995</w:t>
      </w:r>
      <w:r w:rsidR="0082310F" w:rsidRPr="001F5075">
        <w:rPr>
          <w:sz w:val="20"/>
          <w:szCs w:val="20"/>
        </w:rPr>
        <w:t>,</w:t>
      </w:r>
      <w:r w:rsidR="009D7CF4" w:rsidRPr="001F5075">
        <w:rPr>
          <w:sz w:val="20"/>
          <w:szCs w:val="20"/>
        </w:rPr>
        <w:t xml:space="preserve"> Tollafield 2005</w:t>
      </w:r>
      <w:r w:rsidR="0095301E" w:rsidRPr="001F5075">
        <w:rPr>
          <w:sz w:val="20"/>
          <w:szCs w:val="20"/>
        </w:rPr>
        <w:t>)</w:t>
      </w:r>
      <w:r w:rsidRPr="001F5075">
        <w:rPr>
          <w:sz w:val="20"/>
          <w:szCs w:val="20"/>
        </w:rPr>
        <w:t>.</w:t>
      </w:r>
      <w:r w:rsidR="00723EB5" w:rsidRPr="001F5075">
        <w:rPr>
          <w:sz w:val="20"/>
          <w:szCs w:val="20"/>
        </w:rPr>
        <w:t xml:space="preserve"> It is clear that th</w:t>
      </w:r>
      <w:r w:rsidR="00EE2655" w:rsidRPr="001F5075">
        <w:rPr>
          <w:sz w:val="20"/>
          <w:szCs w:val="20"/>
        </w:rPr>
        <w:t>ese</w:t>
      </w:r>
      <w:r w:rsidR="00723EB5" w:rsidRPr="001F5075">
        <w:rPr>
          <w:sz w:val="20"/>
          <w:szCs w:val="20"/>
        </w:rPr>
        <w:t xml:space="preserve"> principles do not exist for surgery alone.</w:t>
      </w:r>
    </w:p>
    <w:p w14:paraId="5385EBFE" w14:textId="77777777" w:rsidR="00723EB5" w:rsidRDefault="00723EB5" w:rsidP="00723EB5">
      <w:pPr>
        <w:ind w:left="-284" w:firstLine="1004"/>
        <w:rPr>
          <w:sz w:val="22"/>
        </w:rPr>
      </w:pPr>
    </w:p>
    <w:p w14:paraId="2609247F" w14:textId="6B1C1185" w:rsidR="0055047A" w:rsidRDefault="00A77FD9" w:rsidP="00FB7AC1">
      <w:pPr>
        <w:ind w:left="-284" w:firstLine="1004"/>
        <w:rPr>
          <w:sz w:val="20"/>
          <w:szCs w:val="20"/>
        </w:rPr>
      </w:pPr>
      <w:r w:rsidRPr="001F5075">
        <w:rPr>
          <w:sz w:val="20"/>
          <w:szCs w:val="20"/>
        </w:rPr>
        <w:t xml:space="preserve">For the podiatrist, the neuroma </w:t>
      </w:r>
      <w:r w:rsidR="00251A2F" w:rsidRPr="001F5075">
        <w:rPr>
          <w:sz w:val="20"/>
          <w:szCs w:val="20"/>
        </w:rPr>
        <w:t xml:space="preserve">can </w:t>
      </w:r>
      <w:r w:rsidRPr="001F5075">
        <w:rPr>
          <w:sz w:val="20"/>
          <w:szCs w:val="20"/>
        </w:rPr>
        <w:t xml:space="preserve">be </w:t>
      </w:r>
      <w:r w:rsidR="00251A2F" w:rsidRPr="001F5075">
        <w:rPr>
          <w:sz w:val="20"/>
          <w:szCs w:val="20"/>
        </w:rPr>
        <w:t>managed</w:t>
      </w:r>
      <w:r w:rsidRPr="001F5075">
        <w:rPr>
          <w:sz w:val="20"/>
          <w:szCs w:val="20"/>
        </w:rPr>
        <w:t xml:space="preserve"> by conservative means</w:t>
      </w:r>
      <w:r w:rsidR="00251A2F" w:rsidRPr="001F5075">
        <w:rPr>
          <w:sz w:val="20"/>
          <w:szCs w:val="20"/>
        </w:rPr>
        <w:t xml:space="preserve"> than surgery</w:t>
      </w:r>
      <w:r w:rsidRPr="001F5075">
        <w:rPr>
          <w:sz w:val="20"/>
          <w:szCs w:val="20"/>
        </w:rPr>
        <w:t xml:space="preserve">. The effects of surgery, while very beneficial </w:t>
      </w:r>
      <w:r w:rsidR="008D3B48" w:rsidRPr="001F5075">
        <w:rPr>
          <w:sz w:val="20"/>
          <w:szCs w:val="20"/>
        </w:rPr>
        <w:t>are</w:t>
      </w:r>
      <w:r w:rsidRPr="001F5075">
        <w:rPr>
          <w:sz w:val="20"/>
          <w:szCs w:val="20"/>
        </w:rPr>
        <w:t xml:space="preserve"> by no means reliable</w:t>
      </w:r>
      <w:r w:rsidR="001D2F51">
        <w:rPr>
          <w:sz w:val="20"/>
          <w:szCs w:val="20"/>
        </w:rPr>
        <w:t>. S</w:t>
      </w:r>
      <w:r w:rsidRPr="001F5075">
        <w:rPr>
          <w:sz w:val="20"/>
          <w:szCs w:val="20"/>
        </w:rPr>
        <w:t xml:space="preserve">ome patients may be no better, some worse and </w:t>
      </w:r>
      <w:r w:rsidR="004C5947">
        <w:rPr>
          <w:sz w:val="20"/>
          <w:szCs w:val="20"/>
        </w:rPr>
        <w:t>other</w:t>
      </w:r>
      <w:r w:rsidR="001D2F51">
        <w:rPr>
          <w:sz w:val="20"/>
          <w:szCs w:val="20"/>
        </w:rPr>
        <w:t>s</w:t>
      </w:r>
      <w:r w:rsidR="004C5947">
        <w:rPr>
          <w:sz w:val="20"/>
          <w:szCs w:val="20"/>
        </w:rPr>
        <w:t xml:space="preserve"> will have symptoms altered</w:t>
      </w:r>
      <w:r w:rsidRPr="001F5075">
        <w:rPr>
          <w:sz w:val="20"/>
          <w:szCs w:val="20"/>
        </w:rPr>
        <w:t>, albeit tolerated</w:t>
      </w:r>
      <w:r w:rsidR="004C5947">
        <w:rPr>
          <w:sz w:val="20"/>
          <w:szCs w:val="20"/>
        </w:rPr>
        <w:t>, but nonetheless unpleasant</w:t>
      </w:r>
      <w:r w:rsidRPr="001F5075">
        <w:rPr>
          <w:sz w:val="20"/>
          <w:szCs w:val="20"/>
        </w:rPr>
        <w:t xml:space="preserve">. </w:t>
      </w:r>
    </w:p>
    <w:p w14:paraId="47C9EDBC" w14:textId="77777777" w:rsidR="0055047A" w:rsidRDefault="0055047A" w:rsidP="00FB7AC1">
      <w:pPr>
        <w:ind w:left="-284" w:firstLine="1004"/>
        <w:rPr>
          <w:sz w:val="20"/>
          <w:szCs w:val="20"/>
        </w:rPr>
      </w:pPr>
    </w:p>
    <w:p w14:paraId="54A3C64C" w14:textId="426489D9" w:rsidR="0055047A" w:rsidRDefault="00A77FD9" w:rsidP="00FB7AC1">
      <w:pPr>
        <w:ind w:left="-284" w:firstLine="1004"/>
        <w:rPr>
          <w:sz w:val="20"/>
          <w:szCs w:val="20"/>
        </w:rPr>
      </w:pPr>
      <w:r w:rsidRPr="001F5075">
        <w:rPr>
          <w:sz w:val="20"/>
          <w:szCs w:val="20"/>
        </w:rPr>
        <w:t>There is no reliable method to establish a</w:t>
      </w:r>
      <w:r w:rsidR="008D185A" w:rsidRPr="001F5075">
        <w:rPr>
          <w:sz w:val="20"/>
          <w:szCs w:val="20"/>
        </w:rPr>
        <w:t>n</w:t>
      </w:r>
      <w:r w:rsidRPr="001F5075">
        <w:rPr>
          <w:sz w:val="20"/>
          <w:szCs w:val="20"/>
        </w:rPr>
        <w:t xml:space="preserve"> </w:t>
      </w:r>
      <w:r w:rsidR="008D185A" w:rsidRPr="001F5075">
        <w:rPr>
          <w:b/>
          <w:sz w:val="20"/>
          <w:szCs w:val="20"/>
        </w:rPr>
        <w:t>actual</w:t>
      </w:r>
      <w:r w:rsidRPr="001F5075">
        <w:rPr>
          <w:b/>
          <w:sz w:val="20"/>
          <w:szCs w:val="20"/>
        </w:rPr>
        <w:t xml:space="preserve"> timeline</w:t>
      </w:r>
      <w:r w:rsidR="008D185A" w:rsidRPr="001F5075">
        <w:rPr>
          <w:b/>
          <w:sz w:val="20"/>
          <w:szCs w:val="20"/>
        </w:rPr>
        <w:t>,</w:t>
      </w:r>
      <w:r w:rsidRPr="001F5075">
        <w:rPr>
          <w:sz w:val="20"/>
          <w:szCs w:val="20"/>
        </w:rPr>
        <w:t xml:space="preserve"> and </w:t>
      </w:r>
      <w:r w:rsidR="008D185A" w:rsidRPr="001F5075">
        <w:rPr>
          <w:sz w:val="20"/>
          <w:szCs w:val="20"/>
        </w:rPr>
        <w:t xml:space="preserve">so </w:t>
      </w:r>
      <w:r w:rsidRPr="001F5075">
        <w:rPr>
          <w:sz w:val="20"/>
          <w:szCs w:val="20"/>
        </w:rPr>
        <w:t xml:space="preserve">we are left with </w:t>
      </w:r>
      <w:r w:rsidR="008D185A" w:rsidRPr="001F5075">
        <w:rPr>
          <w:b/>
          <w:sz w:val="20"/>
          <w:szCs w:val="20"/>
        </w:rPr>
        <w:t>estimated timeline</w:t>
      </w:r>
      <w:r w:rsidR="005736F6" w:rsidRPr="001F5075">
        <w:rPr>
          <w:b/>
          <w:sz w:val="20"/>
          <w:szCs w:val="20"/>
        </w:rPr>
        <w:t>s</w:t>
      </w:r>
      <w:r w:rsidR="008D185A" w:rsidRPr="001F5075">
        <w:rPr>
          <w:sz w:val="20"/>
          <w:szCs w:val="20"/>
        </w:rPr>
        <w:t xml:space="preserve"> based on each patient’s recollection. Signs and symptoms drive patients to see</w:t>
      </w:r>
      <w:r w:rsidR="005736F6" w:rsidRPr="001F5075">
        <w:rPr>
          <w:sz w:val="20"/>
          <w:szCs w:val="20"/>
        </w:rPr>
        <w:t>k</w:t>
      </w:r>
      <w:r w:rsidR="008D185A" w:rsidRPr="001F5075">
        <w:rPr>
          <w:sz w:val="20"/>
          <w:szCs w:val="20"/>
        </w:rPr>
        <w:t xml:space="preserve"> help, but </w:t>
      </w:r>
      <w:r w:rsidR="005736F6" w:rsidRPr="001F5075">
        <w:rPr>
          <w:sz w:val="20"/>
          <w:szCs w:val="20"/>
        </w:rPr>
        <w:t>usua</w:t>
      </w:r>
      <w:r w:rsidR="00394F57" w:rsidRPr="001F5075">
        <w:rPr>
          <w:sz w:val="20"/>
          <w:szCs w:val="20"/>
        </w:rPr>
        <w:t>l</w:t>
      </w:r>
      <w:r w:rsidR="005736F6" w:rsidRPr="001F5075">
        <w:rPr>
          <w:sz w:val="20"/>
          <w:szCs w:val="20"/>
        </w:rPr>
        <w:t>l</w:t>
      </w:r>
      <w:r w:rsidR="00394F57" w:rsidRPr="001F5075">
        <w:rPr>
          <w:sz w:val="20"/>
          <w:szCs w:val="20"/>
        </w:rPr>
        <w:t>y</w:t>
      </w:r>
      <w:r w:rsidR="005736F6" w:rsidRPr="001F5075">
        <w:rPr>
          <w:sz w:val="20"/>
          <w:szCs w:val="20"/>
        </w:rPr>
        <w:t xml:space="preserve"> at a point</w:t>
      </w:r>
      <w:r w:rsidR="008D185A" w:rsidRPr="001F5075">
        <w:rPr>
          <w:sz w:val="20"/>
          <w:szCs w:val="20"/>
        </w:rPr>
        <w:t xml:space="preserve"> when the level of interference reaches a point impacting on daily life. </w:t>
      </w:r>
    </w:p>
    <w:p w14:paraId="244E7173" w14:textId="77777777" w:rsidR="0055047A" w:rsidRDefault="0055047A" w:rsidP="00FB7AC1">
      <w:pPr>
        <w:ind w:left="-284" w:firstLine="1004"/>
        <w:rPr>
          <w:sz w:val="20"/>
          <w:szCs w:val="20"/>
        </w:rPr>
      </w:pPr>
    </w:p>
    <w:p w14:paraId="77D210BD" w14:textId="51512B36" w:rsidR="001F5075" w:rsidRDefault="008D185A" w:rsidP="00FB7AC1">
      <w:pPr>
        <w:ind w:left="-284" w:firstLine="1004"/>
        <w:rPr>
          <w:sz w:val="20"/>
          <w:szCs w:val="20"/>
        </w:rPr>
      </w:pPr>
      <w:r w:rsidRPr="001F5075">
        <w:rPr>
          <w:sz w:val="20"/>
          <w:szCs w:val="20"/>
        </w:rPr>
        <w:t xml:space="preserve">Unlike infection, which is visible, </w:t>
      </w:r>
      <w:r w:rsidR="0055047A">
        <w:rPr>
          <w:sz w:val="20"/>
          <w:szCs w:val="20"/>
        </w:rPr>
        <w:t>as is</w:t>
      </w:r>
      <w:r w:rsidRPr="001F5075">
        <w:rPr>
          <w:sz w:val="20"/>
          <w:szCs w:val="20"/>
        </w:rPr>
        <w:t xml:space="preserve"> delayed wound healing, pain without visual evidence makes diagnostics challenging. We have to assume that changes to the interdigital branches of the nerves have altered earlier. </w:t>
      </w:r>
    </w:p>
    <w:p w14:paraId="70630BE9" w14:textId="77777777" w:rsidR="0055047A" w:rsidRDefault="0055047A" w:rsidP="00FB7AC1">
      <w:pPr>
        <w:ind w:left="-284" w:firstLine="1004"/>
        <w:rPr>
          <w:sz w:val="20"/>
          <w:szCs w:val="20"/>
        </w:rPr>
      </w:pPr>
    </w:p>
    <w:p w14:paraId="56FDC0EB" w14:textId="42E7B607" w:rsidR="00251A2F" w:rsidRPr="001F5075" w:rsidRDefault="008D185A" w:rsidP="00FB7AC1">
      <w:pPr>
        <w:ind w:left="-284" w:firstLine="1004"/>
        <w:rPr>
          <w:sz w:val="20"/>
          <w:szCs w:val="20"/>
        </w:rPr>
      </w:pPr>
      <w:r w:rsidRPr="001F5075">
        <w:rPr>
          <w:sz w:val="20"/>
          <w:szCs w:val="20"/>
        </w:rPr>
        <w:t xml:space="preserve">Establishing the frequency of interossei spasm is perhaps overlooked as a cause of nerve compression. </w:t>
      </w:r>
      <w:r w:rsidR="007500C0">
        <w:rPr>
          <w:sz w:val="20"/>
          <w:szCs w:val="20"/>
        </w:rPr>
        <w:t xml:space="preserve">Until BOTOX is fully explored this use as an intervention is limited to trials. </w:t>
      </w:r>
      <w:r w:rsidRPr="001F5075">
        <w:rPr>
          <w:sz w:val="20"/>
          <w:szCs w:val="20"/>
        </w:rPr>
        <w:t xml:space="preserve">As a patient myself </w:t>
      </w:r>
      <w:r w:rsidR="001D2F51">
        <w:rPr>
          <w:sz w:val="20"/>
          <w:szCs w:val="20"/>
        </w:rPr>
        <w:t>is still</w:t>
      </w:r>
      <w:r w:rsidR="005736F6" w:rsidRPr="001F5075">
        <w:rPr>
          <w:sz w:val="20"/>
          <w:szCs w:val="20"/>
        </w:rPr>
        <w:t xml:space="preserve"> a notable problem.</w:t>
      </w:r>
    </w:p>
    <w:p w14:paraId="49BD753E" w14:textId="77777777" w:rsidR="005736F6" w:rsidRPr="001F5075" w:rsidRDefault="005736F6" w:rsidP="00FB7AC1">
      <w:pPr>
        <w:ind w:left="-284" w:firstLine="1004"/>
        <w:rPr>
          <w:sz w:val="20"/>
          <w:szCs w:val="20"/>
        </w:rPr>
      </w:pPr>
    </w:p>
    <w:p w14:paraId="04545C0A" w14:textId="5DFF1AD1" w:rsidR="00251A2F" w:rsidRPr="001F5075" w:rsidRDefault="00251A2F" w:rsidP="00FB7AC1">
      <w:pPr>
        <w:pStyle w:val="IntenseQuote"/>
        <w:spacing w:before="0" w:after="0"/>
        <w:ind w:left="-284" w:right="0"/>
        <w:rPr>
          <w:rStyle w:val="Strong"/>
          <w:b w:val="0"/>
          <w:i w:val="0"/>
          <w:sz w:val="20"/>
          <w:szCs w:val="20"/>
        </w:rPr>
      </w:pPr>
      <w:r w:rsidRPr="001F5075">
        <w:rPr>
          <w:rStyle w:val="Strong"/>
          <w:b w:val="0"/>
          <w:i w:val="0"/>
          <w:sz w:val="20"/>
          <w:szCs w:val="20"/>
        </w:rPr>
        <w:t>as podiatrists in general practice we should be trying to ensure promotion of awareness of this condition</w:t>
      </w:r>
    </w:p>
    <w:p w14:paraId="335BA614" w14:textId="77777777" w:rsidR="00251A2F" w:rsidRPr="001F5075" w:rsidRDefault="00251A2F" w:rsidP="00FB7AC1">
      <w:pPr>
        <w:ind w:left="-284" w:firstLine="1004"/>
        <w:rPr>
          <w:sz w:val="20"/>
          <w:szCs w:val="20"/>
        </w:rPr>
      </w:pPr>
    </w:p>
    <w:p w14:paraId="76B09E82" w14:textId="1CDE1E37" w:rsidR="00A77FD9" w:rsidRPr="001F5075" w:rsidRDefault="008D185A" w:rsidP="00FB7AC1">
      <w:pPr>
        <w:ind w:left="-284" w:firstLine="1004"/>
        <w:rPr>
          <w:sz w:val="20"/>
          <w:szCs w:val="20"/>
        </w:rPr>
      </w:pPr>
      <w:r w:rsidRPr="001F5075">
        <w:rPr>
          <w:sz w:val="20"/>
          <w:szCs w:val="20"/>
        </w:rPr>
        <w:t>The involvement with the 2/3</w:t>
      </w:r>
      <w:r w:rsidRPr="001F5075">
        <w:rPr>
          <w:sz w:val="20"/>
          <w:szCs w:val="20"/>
          <w:vertAlign w:val="superscript"/>
        </w:rPr>
        <w:t>rd</w:t>
      </w:r>
      <w:r w:rsidRPr="001F5075">
        <w:rPr>
          <w:sz w:val="20"/>
          <w:szCs w:val="20"/>
        </w:rPr>
        <w:t xml:space="preserve"> interspace was the original location for Lewis Durlacher’s work (1845). Thomas Morton (1876) wrote his paper and recorded for historical posterity the ‘affectation’ between the 3/4</w:t>
      </w:r>
      <w:r w:rsidRPr="001F5075">
        <w:rPr>
          <w:sz w:val="20"/>
          <w:szCs w:val="20"/>
          <w:vertAlign w:val="superscript"/>
        </w:rPr>
        <w:t>th</w:t>
      </w:r>
      <w:r w:rsidRPr="001F5075">
        <w:rPr>
          <w:sz w:val="20"/>
          <w:szCs w:val="20"/>
        </w:rPr>
        <w:t>. Curiously</w:t>
      </w:r>
      <w:r w:rsidR="00D84036" w:rsidRPr="001F5075">
        <w:rPr>
          <w:sz w:val="20"/>
          <w:szCs w:val="20"/>
        </w:rPr>
        <w:t xml:space="preserve"> and as is often the case, anything to do with digital nerve pain now </w:t>
      </w:r>
      <w:r w:rsidR="001D2F51" w:rsidRPr="001F5075">
        <w:rPr>
          <w:sz w:val="20"/>
          <w:szCs w:val="20"/>
        </w:rPr>
        <w:t>is communicated</w:t>
      </w:r>
      <w:r w:rsidR="00D84036" w:rsidRPr="001F5075">
        <w:rPr>
          <w:sz w:val="20"/>
          <w:szCs w:val="20"/>
        </w:rPr>
        <w:t xml:space="preserve"> as Morton’s neuroma. </w:t>
      </w:r>
    </w:p>
    <w:p w14:paraId="3718BA08" w14:textId="77777777" w:rsidR="00D84036" w:rsidRPr="001F5075" w:rsidRDefault="00D84036" w:rsidP="00FB7AC1">
      <w:pPr>
        <w:ind w:left="-284"/>
        <w:rPr>
          <w:sz w:val="20"/>
          <w:szCs w:val="20"/>
        </w:rPr>
      </w:pPr>
    </w:p>
    <w:p w14:paraId="502CDE34" w14:textId="3F9CEFB5" w:rsidR="005736F6" w:rsidRPr="001F5075" w:rsidRDefault="00D84036" w:rsidP="00FB7AC1">
      <w:pPr>
        <w:ind w:left="-284" w:firstLine="284"/>
        <w:rPr>
          <w:sz w:val="20"/>
          <w:szCs w:val="20"/>
        </w:rPr>
      </w:pPr>
      <w:r w:rsidRPr="001F5075">
        <w:rPr>
          <w:sz w:val="20"/>
          <w:szCs w:val="20"/>
        </w:rPr>
        <w:t>Bennet</w:t>
      </w:r>
      <w:r w:rsidR="00836B8B" w:rsidRPr="001F5075">
        <w:rPr>
          <w:sz w:val="20"/>
          <w:szCs w:val="20"/>
        </w:rPr>
        <w:t>t</w:t>
      </w:r>
      <w:r w:rsidRPr="001F5075">
        <w:rPr>
          <w:sz w:val="20"/>
          <w:szCs w:val="20"/>
        </w:rPr>
        <w:t xml:space="preserve"> </w:t>
      </w:r>
      <w:r w:rsidR="004C5947">
        <w:rPr>
          <w:sz w:val="20"/>
          <w:szCs w:val="20"/>
        </w:rPr>
        <w:t xml:space="preserve">et al </w:t>
      </w:r>
      <w:r w:rsidRPr="001F5075">
        <w:rPr>
          <w:sz w:val="20"/>
          <w:szCs w:val="20"/>
        </w:rPr>
        <w:t>(1995) makes a good case for footwear and orthotic management and this does not appear to have changed. The selection of modalities should be left to those with greatest interest in orthotic management but the caveat must lie with recognising that if more than two designs fail, serious consideration must be given to the next stage i.e steroid injection.</w:t>
      </w:r>
    </w:p>
    <w:p w14:paraId="3A5F743B" w14:textId="77777777" w:rsidR="005736F6" w:rsidRPr="001F5075" w:rsidRDefault="005736F6" w:rsidP="00FB7AC1">
      <w:pPr>
        <w:ind w:left="-284" w:firstLine="284"/>
        <w:rPr>
          <w:sz w:val="20"/>
          <w:szCs w:val="20"/>
        </w:rPr>
      </w:pPr>
    </w:p>
    <w:p w14:paraId="0C0698C6" w14:textId="77777777" w:rsidR="008D6FB6" w:rsidRDefault="00E221AE" w:rsidP="008D6FB6">
      <w:pPr>
        <w:ind w:left="-284" w:firstLine="284"/>
        <w:rPr>
          <w:sz w:val="20"/>
          <w:szCs w:val="20"/>
        </w:rPr>
      </w:pPr>
      <w:r w:rsidRPr="001F5075">
        <w:rPr>
          <w:sz w:val="20"/>
          <w:szCs w:val="20"/>
        </w:rPr>
        <w:t>Makki</w:t>
      </w:r>
      <w:r w:rsidR="00394F57" w:rsidRPr="001F5075">
        <w:rPr>
          <w:sz w:val="20"/>
          <w:szCs w:val="20"/>
        </w:rPr>
        <w:t>’s</w:t>
      </w:r>
      <w:r w:rsidRPr="001F5075">
        <w:rPr>
          <w:sz w:val="20"/>
          <w:szCs w:val="20"/>
        </w:rPr>
        <w:t xml:space="preserve"> (2012) paper </w:t>
      </w:r>
      <w:r w:rsidR="00836B8B" w:rsidRPr="001F5075">
        <w:rPr>
          <w:sz w:val="20"/>
          <w:szCs w:val="20"/>
        </w:rPr>
        <w:t>fall</w:t>
      </w:r>
      <w:r w:rsidR="005736F6" w:rsidRPr="001F5075">
        <w:rPr>
          <w:sz w:val="20"/>
          <w:szCs w:val="20"/>
        </w:rPr>
        <w:t>s</w:t>
      </w:r>
      <w:r w:rsidR="00836B8B" w:rsidRPr="001F5075">
        <w:rPr>
          <w:sz w:val="20"/>
          <w:szCs w:val="20"/>
        </w:rPr>
        <w:t xml:space="preserve"> in line with views held by Mahadevan and Pastides about size of lesions and the benefit of steroid. Makki’s work has credibility as he used two groups of patients elevating the standard of evidence to level II (prospective). Two groups of patients one with lesions measure &lt;5mm and those &gt;5mm. Lesio</w:t>
      </w:r>
      <w:r w:rsidR="008D6FB6">
        <w:rPr>
          <w:sz w:val="20"/>
          <w:szCs w:val="20"/>
        </w:rPr>
        <w:t>ns smaller than 5mm did better.</w:t>
      </w:r>
    </w:p>
    <w:p w14:paraId="7DD4A1DC" w14:textId="77777777" w:rsidR="008D6FB6" w:rsidRDefault="008D6FB6" w:rsidP="008D6FB6">
      <w:pPr>
        <w:ind w:left="-284" w:firstLine="284"/>
        <w:rPr>
          <w:sz w:val="20"/>
          <w:szCs w:val="20"/>
        </w:rPr>
      </w:pPr>
    </w:p>
    <w:p w14:paraId="7FA4CBBB" w14:textId="32F1238C" w:rsidR="008D6FB6" w:rsidRDefault="008D6FB6" w:rsidP="008D6FB6">
      <w:pPr>
        <w:ind w:left="-284"/>
        <w:rPr>
          <w:b/>
          <w:color w:val="000000" w:themeColor="text1"/>
        </w:rPr>
      </w:pPr>
      <w:r w:rsidRPr="008D6FB6">
        <w:rPr>
          <w:b/>
          <w:color w:val="000000" w:themeColor="text1"/>
        </w:rPr>
        <w:t xml:space="preserve">Podiatrists </w:t>
      </w:r>
      <w:r>
        <w:rPr>
          <w:b/>
          <w:color w:val="000000" w:themeColor="text1"/>
        </w:rPr>
        <w:t xml:space="preserve">now </w:t>
      </w:r>
      <w:r w:rsidRPr="008D6FB6">
        <w:rPr>
          <w:b/>
          <w:color w:val="000000" w:themeColor="text1"/>
        </w:rPr>
        <w:t>have a golden opportunity</w:t>
      </w:r>
    </w:p>
    <w:p w14:paraId="61527220" w14:textId="77777777" w:rsidR="008D6FB6" w:rsidRDefault="008D6FB6" w:rsidP="008D6FB6">
      <w:pPr>
        <w:ind w:left="-284" w:firstLine="284"/>
        <w:rPr>
          <w:sz w:val="20"/>
          <w:szCs w:val="20"/>
        </w:rPr>
      </w:pPr>
    </w:p>
    <w:p w14:paraId="77A3FFB4" w14:textId="5D0CDB36" w:rsidR="005736F6" w:rsidRDefault="008D6FB6" w:rsidP="00FB7AC1">
      <w:pPr>
        <w:ind w:left="-284" w:firstLine="1004"/>
        <w:rPr>
          <w:sz w:val="20"/>
          <w:szCs w:val="20"/>
        </w:rPr>
      </w:pPr>
      <w:r>
        <w:rPr>
          <w:sz w:val="20"/>
          <w:szCs w:val="20"/>
        </w:rPr>
        <w:t>Steroids fail to work as they cannot overcome the dense fibrosis surround nerve bundles, fibrinoid changes and demyelination. Some arrest of the inflammatory activity arises but cannot be sustained as the size increases with time. With early suspicion, even without symptoms</w:t>
      </w:r>
      <w:r w:rsidR="001D2F51">
        <w:rPr>
          <w:sz w:val="20"/>
          <w:szCs w:val="20"/>
        </w:rPr>
        <w:t>,</w:t>
      </w:r>
      <w:r>
        <w:rPr>
          <w:sz w:val="20"/>
          <w:szCs w:val="20"/>
        </w:rPr>
        <w:t xml:space="preserve"> conservative treatment might off</w:t>
      </w:r>
      <w:r w:rsidR="001D2F51">
        <w:rPr>
          <w:sz w:val="20"/>
          <w:szCs w:val="20"/>
        </w:rPr>
        <w:t>er</w:t>
      </w:r>
      <w:r>
        <w:rPr>
          <w:sz w:val="20"/>
          <w:szCs w:val="20"/>
        </w:rPr>
        <w:t xml:space="preserve"> the way forward. </w:t>
      </w:r>
      <w:r w:rsidR="001D2F51">
        <w:rPr>
          <w:sz w:val="20"/>
          <w:szCs w:val="20"/>
        </w:rPr>
        <w:t>Avoidance</w:t>
      </w:r>
      <w:r>
        <w:rPr>
          <w:sz w:val="20"/>
          <w:szCs w:val="20"/>
        </w:rPr>
        <w:t xml:space="preserve"> of surgery is best in the hands of podiatrists</w:t>
      </w:r>
      <w:r w:rsidR="001D2F51">
        <w:rPr>
          <w:sz w:val="20"/>
          <w:szCs w:val="20"/>
        </w:rPr>
        <w:t xml:space="preserve"> with sufficient upskilling</w:t>
      </w:r>
      <w:r>
        <w:rPr>
          <w:sz w:val="20"/>
          <w:szCs w:val="20"/>
        </w:rPr>
        <w:t>.</w:t>
      </w:r>
      <w:r w:rsidR="001D2F51">
        <w:rPr>
          <w:sz w:val="20"/>
          <w:szCs w:val="20"/>
        </w:rPr>
        <w:t xml:space="preserve"> Sadly at the time of writing it is doubtful </w:t>
      </w:r>
      <w:r w:rsidR="0064236B">
        <w:rPr>
          <w:sz w:val="20"/>
          <w:szCs w:val="20"/>
        </w:rPr>
        <w:t xml:space="preserve">that </w:t>
      </w:r>
      <w:r w:rsidR="001D2F51">
        <w:rPr>
          <w:sz w:val="20"/>
          <w:szCs w:val="20"/>
        </w:rPr>
        <w:t xml:space="preserve">many students leaving </w:t>
      </w:r>
      <w:r w:rsidR="0064236B">
        <w:rPr>
          <w:sz w:val="20"/>
          <w:szCs w:val="20"/>
        </w:rPr>
        <w:t xml:space="preserve">their UK </w:t>
      </w:r>
      <w:r w:rsidR="001D2F51">
        <w:rPr>
          <w:sz w:val="20"/>
          <w:szCs w:val="20"/>
        </w:rPr>
        <w:t xml:space="preserve">University </w:t>
      </w:r>
      <w:r w:rsidR="0064236B">
        <w:rPr>
          <w:sz w:val="20"/>
          <w:szCs w:val="20"/>
        </w:rPr>
        <w:t xml:space="preserve">today </w:t>
      </w:r>
      <w:r w:rsidR="001D2F51">
        <w:rPr>
          <w:sz w:val="20"/>
          <w:szCs w:val="20"/>
        </w:rPr>
        <w:t>possess the full skills to offer broad management of Morton’s neuroma</w:t>
      </w:r>
    </w:p>
    <w:p w14:paraId="69958F7A" w14:textId="77777777" w:rsidR="005736F6" w:rsidRPr="001F5075" w:rsidRDefault="005736F6" w:rsidP="00FB7AC1">
      <w:pPr>
        <w:ind w:left="-284" w:firstLine="1004"/>
        <w:rPr>
          <w:sz w:val="20"/>
          <w:szCs w:val="20"/>
        </w:rPr>
      </w:pPr>
    </w:p>
    <w:p w14:paraId="1D6F8226" w14:textId="7F217BDA" w:rsidR="005F0A5E" w:rsidRPr="001F5075" w:rsidRDefault="004861EC" w:rsidP="00FB7AC1">
      <w:pPr>
        <w:ind w:left="-284" w:firstLine="1004"/>
        <w:rPr>
          <w:sz w:val="20"/>
          <w:szCs w:val="20"/>
        </w:rPr>
      </w:pPr>
      <w:r w:rsidRPr="001F5075">
        <w:rPr>
          <w:sz w:val="20"/>
          <w:szCs w:val="20"/>
        </w:rPr>
        <w:t xml:space="preserve">Clearly as podiatrists in general practice we should be trying to </w:t>
      </w:r>
      <w:r w:rsidR="00AB7D90" w:rsidRPr="001F5075">
        <w:rPr>
          <w:sz w:val="20"/>
          <w:szCs w:val="20"/>
        </w:rPr>
        <w:t xml:space="preserve">improve </w:t>
      </w:r>
      <w:r w:rsidR="002C0197" w:rsidRPr="001F5075">
        <w:rPr>
          <w:sz w:val="20"/>
          <w:szCs w:val="20"/>
        </w:rPr>
        <w:t>society’s</w:t>
      </w:r>
      <w:r w:rsidRPr="001F5075">
        <w:rPr>
          <w:sz w:val="20"/>
          <w:szCs w:val="20"/>
        </w:rPr>
        <w:t xml:space="preserve"> awarene</w:t>
      </w:r>
      <w:r w:rsidR="00B159B8" w:rsidRPr="001F5075">
        <w:rPr>
          <w:sz w:val="20"/>
          <w:szCs w:val="20"/>
        </w:rPr>
        <w:t>ss of this condition</w:t>
      </w:r>
      <w:r w:rsidR="005736F6" w:rsidRPr="001F5075">
        <w:rPr>
          <w:sz w:val="20"/>
          <w:szCs w:val="20"/>
        </w:rPr>
        <w:t>. W</w:t>
      </w:r>
      <w:r w:rsidRPr="001F5075">
        <w:rPr>
          <w:sz w:val="20"/>
          <w:szCs w:val="20"/>
        </w:rPr>
        <w:t xml:space="preserve">e now have evidence and can reflect on our experience to suggest that in an ideal world </w:t>
      </w:r>
      <w:r w:rsidR="00696CA8" w:rsidRPr="001F5075">
        <w:rPr>
          <w:sz w:val="20"/>
          <w:szCs w:val="20"/>
        </w:rPr>
        <w:t>with early</w:t>
      </w:r>
      <w:r w:rsidR="001A2983" w:rsidRPr="001F5075">
        <w:rPr>
          <w:sz w:val="20"/>
          <w:szCs w:val="20"/>
        </w:rPr>
        <w:t xml:space="preserve"> recognition</w:t>
      </w:r>
      <w:r w:rsidRPr="001F5075">
        <w:rPr>
          <w:sz w:val="20"/>
          <w:szCs w:val="20"/>
        </w:rPr>
        <w:t xml:space="preserve"> fewer patients </w:t>
      </w:r>
      <w:r w:rsidR="002930CF" w:rsidRPr="001F5075">
        <w:rPr>
          <w:sz w:val="20"/>
          <w:szCs w:val="20"/>
        </w:rPr>
        <w:t>might need</w:t>
      </w:r>
      <w:r w:rsidRPr="001F5075">
        <w:rPr>
          <w:sz w:val="20"/>
          <w:szCs w:val="20"/>
        </w:rPr>
        <w:t xml:space="preserve"> surgery</w:t>
      </w:r>
      <w:r w:rsidR="00073B4E" w:rsidRPr="001F5075">
        <w:rPr>
          <w:sz w:val="20"/>
          <w:szCs w:val="20"/>
        </w:rPr>
        <w:t xml:space="preserve">. This would meet the aims of restoring and maintaining mobility and minimise </w:t>
      </w:r>
      <w:r w:rsidR="0064236B">
        <w:rPr>
          <w:sz w:val="20"/>
          <w:szCs w:val="20"/>
        </w:rPr>
        <w:t xml:space="preserve">any </w:t>
      </w:r>
      <w:r w:rsidR="00073B4E" w:rsidRPr="001F5075">
        <w:rPr>
          <w:sz w:val="20"/>
          <w:szCs w:val="20"/>
        </w:rPr>
        <w:t>risk from surgery.</w:t>
      </w:r>
    </w:p>
    <w:p w14:paraId="1956DE50" w14:textId="77777777" w:rsidR="005F0A5E" w:rsidRPr="001F5075" w:rsidRDefault="005F0A5E" w:rsidP="00FB7AC1">
      <w:pPr>
        <w:ind w:left="-284"/>
        <w:rPr>
          <w:sz w:val="20"/>
          <w:szCs w:val="20"/>
        </w:rPr>
      </w:pPr>
    </w:p>
    <w:p w14:paraId="257EF21C" w14:textId="59E09F94" w:rsidR="004861EC" w:rsidRPr="00342659" w:rsidRDefault="004861EC" w:rsidP="00FB7AC1">
      <w:pPr>
        <w:pStyle w:val="Heading2"/>
        <w:spacing w:before="0"/>
        <w:ind w:left="-284"/>
        <w:rPr>
          <w:rFonts w:asciiTheme="minorHAnsi" w:hAnsiTheme="minorHAnsi"/>
          <w:b/>
          <w:color w:val="000000" w:themeColor="text1"/>
          <w:sz w:val="28"/>
          <w:szCs w:val="20"/>
        </w:rPr>
      </w:pPr>
      <w:r w:rsidRPr="00342659">
        <w:rPr>
          <w:rFonts w:asciiTheme="minorHAnsi" w:hAnsiTheme="minorHAnsi"/>
          <w:b/>
          <w:color w:val="000000" w:themeColor="text1"/>
          <w:sz w:val="28"/>
          <w:szCs w:val="20"/>
        </w:rPr>
        <w:t>References</w:t>
      </w:r>
      <w:r w:rsidR="005F0A5E" w:rsidRPr="00342659">
        <w:rPr>
          <w:rFonts w:asciiTheme="minorHAnsi" w:hAnsiTheme="minorHAnsi"/>
          <w:b/>
          <w:color w:val="000000" w:themeColor="text1"/>
          <w:sz w:val="28"/>
          <w:szCs w:val="20"/>
        </w:rPr>
        <w:t xml:space="preserve"> &amp; bibliography</w:t>
      </w:r>
    </w:p>
    <w:p w14:paraId="30E27533" w14:textId="77777777" w:rsidR="00102626" w:rsidRPr="001F5075" w:rsidRDefault="00102626" w:rsidP="00FB7AC1">
      <w:pPr>
        <w:pStyle w:val="ListParagraph"/>
        <w:ind w:left="-284"/>
        <w:rPr>
          <w:sz w:val="20"/>
          <w:szCs w:val="20"/>
        </w:rPr>
      </w:pPr>
    </w:p>
    <w:p w14:paraId="550E7D42" w14:textId="349B6BF8" w:rsidR="00102626" w:rsidRPr="001F5075" w:rsidRDefault="00102626" w:rsidP="00FB7AC1">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284"/>
        <w:rPr>
          <w:rFonts w:cs="Palatino"/>
          <w:sz w:val="20"/>
          <w:szCs w:val="20"/>
        </w:rPr>
      </w:pPr>
      <w:r w:rsidRPr="001F5075">
        <w:rPr>
          <w:rFonts w:cs="Palatino"/>
          <w:b/>
          <w:bCs/>
          <w:sz w:val="20"/>
          <w:szCs w:val="20"/>
        </w:rPr>
        <w:t>Bennett, GL,</w:t>
      </w:r>
      <w:r w:rsidRPr="001F5075">
        <w:rPr>
          <w:rFonts w:cs="Palatino"/>
          <w:bCs/>
          <w:sz w:val="20"/>
          <w:szCs w:val="20"/>
        </w:rPr>
        <w:t xml:space="preserve"> Graham CE, Mauldin DM. Morton’s interdigital neuroma: a comprehensive treatment protocol. Foot and Ankle International. 1995; 16:760-3</w:t>
      </w:r>
    </w:p>
    <w:p w14:paraId="27E82252" w14:textId="36D24DC1" w:rsidR="00102626" w:rsidRPr="001F5075" w:rsidRDefault="007639AB" w:rsidP="00FB7AC1">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284"/>
        <w:rPr>
          <w:rFonts w:cs="Palatino"/>
          <w:sz w:val="20"/>
          <w:szCs w:val="20"/>
        </w:rPr>
      </w:pPr>
      <w:r>
        <w:rPr>
          <w:rFonts w:cs="Palatino"/>
          <w:b/>
          <w:bCs/>
          <w:sz w:val="20"/>
          <w:szCs w:val="20"/>
        </w:rPr>
        <w:t>Ben</w:t>
      </w:r>
      <w:r w:rsidR="00102626" w:rsidRPr="001F5075">
        <w:rPr>
          <w:rFonts w:cs="Palatino"/>
          <w:b/>
          <w:bCs/>
          <w:sz w:val="20"/>
          <w:szCs w:val="20"/>
        </w:rPr>
        <w:t>cardino J,</w:t>
      </w:r>
      <w:r w:rsidR="00102626" w:rsidRPr="001F5075">
        <w:rPr>
          <w:rFonts w:cs="Palatino"/>
          <w:bCs/>
          <w:sz w:val="20"/>
          <w:szCs w:val="20"/>
        </w:rPr>
        <w:t xml:space="preserve"> Rosenberg ZS, Beltran J, Liu X, Marty-Delfaut E. Morton’s neuroma: is it always symptomatic? AJR Am J Roentgenol 2000;(175):649-53</w:t>
      </w:r>
    </w:p>
    <w:p w14:paraId="2225BBF5" w14:textId="77777777" w:rsidR="00320143" w:rsidRPr="001F5075" w:rsidRDefault="00102626" w:rsidP="00FB7AC1">
      <w:pPr>
        <w:ind w:left="-284"/>
        <w:rPr>
          <w:sz w:val="20"/>
          <w:szCs w:val="20"/>
        </w:rPr>
      </w:pPr>
      <w:r w:rsidRPr="001F5075">
        <w:rPr>
          <w:b/>
          <w:sz w:val="20"/>
          <w:szCs w:val="20"/>
        </w:rPr>
        <w:t>Bignotti, B,</w:t>
      </w:r>
      <w:r w:rsidRPr="001F5075">
        <w:rPr>
          <w:sz w:val="20"/>
          <w:szCs w:val="20"/>
        </w:rPr>
        <w:t xml:space="preserve"> Signori, A, Sormani, MP, Molfetta, L, Martinoli, C, Tagliofico, A. Ultrasound versus magnetic resonance imaging for Morton’s Neuroma.  Eur Radiol. 2015; 25:2254-22</w:t>
      </w:r>
      <w:r w:rsidR="00320143" w:rsidRPr="001F5075">
        <w:rPr>
          <w:sz w:val="20"/>
          <w:szCs w:val="20"/>
        </w:rPr>
        <w:t>62. doi.101007/s00330-015-3633</w:t>
      </w:r>
    </w:p>
    <w:p w14:paraId="5D7FE4C6" w14:textId="1CA86CF7" w:rsidR="00320143" w:rsidRPr="001F5075" w:rsidRDefault="00320143" w:rsidP="00FB7AC1">
      <w:pPr>
        <w:ind w:left="-284"/>
        <w:rPr>
          <w:sz w:val="20"/>
          <w:szCs w:val="20"/>
        </w:rPr>
      </w:pPr>
      <w:r w:rsidRPr="001F5075">
        <w:rPr>
          <w:b/>
          <w:sz w:val="20"/>
          <w:szCs w:val="20"/>
        </w:rPr>
        <w:t>Claassen, L,</w:t>
      </w:r>
      <w:r w:rsidRPr="001F5075">
        <w:rPr>
          <w:sz w:val="20"/>
          <w:szCs w:val="20"/>
        </w:rPr>
        <w:t xml:space="preserve"> Bock, K, Ettinger, M, Waizy, H</w:t>
      </w:r>
      <w:r w:rsidRPr="001F5075">
        <w:rPr>
          <w:sz w:val="20"/>
          <w:szCs w:val="20"/>
          <w:lang w:val="de-DE"/>
        </w:rPr>
        <w:t xml:space="preserve">, </w:t>
      </w:r>
      <w:r w:rsidRPr="001F5075">
        <w:rPr>
          <w:sz w:val="20"/>
          <w:szCs w:val="20"/>
        </w:rPr>
        <w:t>Stukenb</w:t>
      </w:r>
      <w:r w:rsidRPr="001F5075">
        <w:rPr>
          <w:noProof/>
          <w:sz w:val="20"/>
          <w:szCs w:val="20"/>
        </w:rPr>
        <w:t>o</w:t>
      </w:r>
      <w:r w:rsidRPr="001F5075">
        <w:rPr>
          <w:sz w:val="20"/>
          <w:szCs w:val="20"/>
        </w:rPr>
        <w:t>rg-Colsman, C, Plaass, C. Role of MRI in Detection of Morton’s Neuroma.</w:t>
      </w:r>
      <w:r w:rsidRPr="001F5075">
        <w:rPr>
          <w:sz w:val="20"/>
          <w:szCs w:val="20"/>
          <w:lang w:val="de-DE"/>
        </w:rPr>
        <w:t xml:space="preserve"> Foot &amp; Ankle Int. 2014;35(10):1002-1005</w:t>
      </w:r>
    </w:p>
    <w:p w14:paraId="42318288" w14:textId="3D0667E9" w:rsidR="00102626" w:rsidRPr="001F5075" w:rsidRDefault="00102626" w:rsidP="00FB7AC1">
      <w:pPr>
        <w:widowControl w:val="0"/>
        <w:autoSpaceDE w:val="0"/>
        <w:autoSpaceDN w:val="0"/>
        <w:adjustRightInd w:val="0"/>
        <w:ind w:left="-284"/>
        <w:rPr>
          <w:rFonts w:cs="Times New Roman"/>
          <w:sz w:val="20"/>
          <w:szCs w:val="20"/>
        </w:rPr>
      </w:pPr>
      <w:r w:rsidRPr="001F5075">
        <w:rPr>
          <w:rFonts w:cs="Times New Roman"/>
          <w:b/>
          <w:sz w:val="20"/>
          <w:szCs w:val="20"/>
        </w:rPr>
        <w:t>Hewitt SM,</w:t>
      </w:r>
      <w:r w:rsidRPr="001F5075">
        <w:rPr>
          <w:rFonts w:cs="Times New Roman"/>
          <w:sz w:val="20"/>
          <w:szCs w:val="20"/>
        </w:rPr>
        <w:t xml:space="preserve"> Kilmartin TE, O’Kane, C.  A retrospective audit on the role of sonographical interpretation and localisation of intermetatarsal neuroma in the surgical management of Morton’s neuroma. British Journal of Podiatry August 2007; 10(3): 99–103</w:t>
      </w:r>
    </w:p>
    <w:p w14:paraId="65572288" w14:textId="52F00866" w:rsidR="00FD223B" w:rsidRPr="001F5075" w:rsidRDefault="00FD223B" w:rsidP="00FB7AC1">
      <w:pPr>
        <w:ind w:left="-284"/>
        <w:rPr>
          <w:rFonts w:cs="Palatino"/>
          <w:bCs/>
          <w:sz w:val="20"/>
          <w:szCs w:val="20"/>
        </w:rPr>
      </w:pPr>
      <w:r w:rsidRPr="001F5075">
        <w:rPr>
          <w:rFonts w:cs="Palatino"/>
          <w:b/>
          <w:bCs/>
          <w:sz w:val="20"/>
          <w:szCs w:val="20"/>
        </w:rPr>
        <w:t xml:space="preserve">Mahadevan, D, Venkatesan, M, Bhatt, R, Bhatia, M. </w:t>
      </w:r>
      <w:r w:rsidRPr="001F5075">
        <w:rPr>
          <w:rFonts w:cs="Palatino"/>
          <w:bCs/>
          <w:sz w:val="20"/>
          <w:szCs w:val="20"/>
        </w:rPr>
        <w:t>Diagnostic accuracy of clinical tests for Morton’s neuroma compared with ultrasonography. J. Foot &amp; Ankle Surgery. 2015; 54:549-553</w:t>
      </w:r>
    </w:p>
    <w:p w14:paraId="69679C2F" w14:textId="5938DB8E" w:rsidR="00102626" w:rsidRDefault="00102626" w:rsidP="00FB7AC1">
      <w:pPr>
        <w:ind w:left="-284"/>
        <w:rPr>
          <w:rFonts w:cs="Palatino"/>
          <w:bCs/>
          <w:sz w:val="20"/>
          <w:szCs w:val="20"/>
        </w:rPr>
      </w:pPr>
      <w:r w:rsidRPr="001F5075">
        <w:rPr>
          <w:rFonts w:cs="Palatino"/>
          <w:b/>
          <w:bCs/>
          <w:sz w:val="20"/>
          <w:szCs w:val="20"/>
        </w:rPr>
        <w:t>Mahadevan, D</w:t>
      </w:r>
      <w:r w:rsidR="009F22DA">
        <w:rPr>
          <w:rFonts w:cs="Palatino"/>
          <w:b/>
          <w:bCs/>
          <w:sz w:val="20"/>
          <w:szCs w:val="20"/>
          <w:vertAlign w:val="superscript"/>
        </w:rPr>
        <w:t>1</w:t>
      </w:r>
      <w:r w:rsidRPr="001F5075">
        <w:rPr>
          <w:rFonts w:cs="Palatino"/>
          <w:bCs/>
          <w:sz w:val="20"/>
          <w:szCs w:val="20"/>
        </w:rPr>
        <w:t>, Salmasi, M, Whybra et al What Factors predict the need for further intervention following corticosteroid injection of Morton’s Neuroma? J Foot &amp; Ankle Surgery. 2016; 22:9-11</w:t>
      </w:r>
    </w:p>
    <w:p w14:paraId="27584043" w14:textId="7359DB24" w:rsidR="009F22DA" w:rsidRPr="001F5075" w:rsidRDefault="009F22DA" w:rsidP="00FB7AC1">
      <w:pPr>
        <w:ind w:left="-284"/>
        <w:rPr>
          <w:sz w:val="20"/>
          <w:szCs w:val="20"/>
        </w:rPr>
      </w:pPr>
      <w:r>
        <w:rPr>
          <w:rFonts w:cs="Palatino"/>
          <w:b/>
          <w:bCs/>
          <w:sz w:val="20"/>
          <w:szCs w:val="20"/>
        </w:rPr>
        <w:t>Mahadevan, D</w:t>
      </w:r>
      <w:r>
        <w:rPr>
          <w:rFonts w:cs="Palatino"/>
          <w:b/>
          <w:bCs/>
          <w:sz w:val="20"/>
          <w:szCs w:val="20"/>
          <w:vertAlign w:val="superscript"/>
        </w:rPr>
        <w:t>2</w:t>
      </w:r>
      <w:r>
        <w:rPr>
          <w:rFonts w:cs="Palatino"/>
          <w:b/>
          <w:bCs/>
          <w:sz w:val="20"/>
          <w:szCs w:val="20"/>
        </w:rPr>
        <w:t xml:space="preserve">, </w:t>
      </w:r>
      <w:r w:rsidRPr="009F22DA">
        <w:rPr>
          <w:rFonts w:cs="Palatino"/>
          <w:bCs/>
          <w:sz w:val="20"/>
          <w:szCs w:val="20"/>
        </w:rPr>
        <w:t>Attwal, M, Bhatt, R, Bhatia, M</w:t>
      </w:r>
      <w:r>
        <w:rPr>
          <w:rFonts w:cs="Palatino"/>
          <w:bCs/>
          <w:sz w:val="20"/>
          <w:szCs w:val="20"/>
        </w:rPr>
        <w:t xml:space="preserve"> Corticosteroid injection for Morton’s Neuroma with or without ultrasound guidance. The Bone &amp; Joint Journal. 2016;98-B:498-503</w:t>
      </w:r>
    </w:p>
    <w:p w14:paraId="46DFB21C" w14:textId="0E65738D" w:rsidR="00102626" w:rsidRPr="001F5075" w:rsidRDefault="00102626" w:rsidP="00FB7AC1">
      <w:pPr>
        <w:widowControl w:val="0"/>
        <w:autoSpaceDE w:val="0"/>
        <w:autoSpaceDN w:val="0"/>
        <w:adjustRightInd w:val="0"/>
        <w:ind w:left="-284"/>
        <w:rPr>
          <w:rFonts w:cs="Times New Roman"/>
          <w:sz w:val="20"/>
          <w:szCs w:val="20"/>
        </w:rPr>
      </w:pPr>
      <w:r w:rsidRPr="001F5075">
        <w:rPr>
          <w:rFonts w:cs="Palatino"/>
          <w:b/>
          <w:bCs/>
          <w:sz w:val="20"/>
          <w:szCs w:val="20"/>
        </w:rPr>
        <w:t xml:space="preserve">Makki, D, </w:t>
      </w:r>
      <w:r w:rsidRPr="001F5075">
        <w:rPr>
          <w:rFonts w:cs="Palatino"/>
          <w:bCs/>
          <w:sz w:val="20"/>
          <w:szCs w:val="20"/>
        </w:rPr>
        <w:t>Haddad, BZ, Mahmood, Z, Shahid, MS, Pathak, S, Garnham, I Efficacy of Corticosteroid Injection Versus Size of Plantar Interdigital Neuroma. Foot &amp; Ankle Int. DOI:10.3113/FAI.2012.0722</w:t>
      </w:r>
    </w:p>
    <w:p w14:paraId="0611AA5B" w14:textId="77777777" w:rsidR="00E67441" w:rsidRDefault="005F0A5E" w:rsidP="00E67441">
      <w:pPr>
        <w:pStyle w:val="EndnoteText"/>
        <w:ind w:left="-284"/>
        <w:rPr>
          <w:rFonts w:cs="Palatino"/>
          <w:bCs/>
          <w:sz w:val="20"/>
          <w:szCs w:val="20"/>
        </w:rPr>
      </w:pPr>
      <w:r w:rsidRPr="001F5075">
        <w:rPr>
          <w:rFonts w:cs="Palatino"/>
          <w:b/>
          <w:bCs/>
          <w:sz w:val="20"/>
          <w:szCs w:val="20"/>
        </w:rPr>
        <w:t xml:space="preserve">Mallina, RK, Al-Dadah, K </w:t>
      </w:r>
      <w:r w:rsidRPr="001F5075">
        <w:rPr>
          <w:rFonts w:cs="Palatino"/>
          <w:bCs/>
          <w:sz w:val="20"/>
          <w:szCs w:val="20"/>
        </w:rPr>
        <w:t>Is histopathological analysis of interdigital Morton’s neuroma necessary? Clinical Research 2017;10(8):</w:t>
      </w:r>
      <w:r w:rsidR="00FD223B" w:rsidRPr="001F5075">
        <w:rPr>
          <w:rFonts w:cs="Palatino"/>
          <w:bCs/>
          <w:sz w:val="20"/>
          <w:szCs w:val="20"/>
        </w:rPr>
        <w:t>520-523</w:t>
      </w:r>
    </w:p>
    <w:p w14:paraId="3ABAD048" w14:textId="5399668F" w:rsidR="00E67441" w:rsidRPr="00E67441" w:rsidRDefault="0055047A" w:rsidP="00E67441">
      <w:pPr>
        <w:pStyle w:val="EndnoteText"/>
        <w:ind w:left="-284"/>
        <w:rPr>
          <w:rFonts w:cs="Palatino"/>
          <w:b/>
          <w:bCs/>
          <w:sz w:val="20"/>
          <w:szCs w:val="20"/>
        </w:rPr>
      </w:pPr>
      <w:r w:rsidRPr="00E67441">
        <w:rPr>
          <w:rFonts w:cs="Palatino"/>
          <w:b/>
          <w:bCs/>
          <w:sz w:val="20"/>
          <w:szCs w:val="20"/>
        </w:rPr>
        <w:t>Matthews</w:t>
      </w:r>
      <w:r w:rsidR="00E67441">
        <w:rPr>
          <w:rFonts w:cs="Palatino"/>
          <w:b/>
          <w:bCs/>
          <w:sz w:val="20"/>
          <w:szCs w:val="20"/>
        </w:rPr>
        <w:t xml:space="preserve">, </w:t>
      </w:r>
      <w:r w:rsidR="00E67441" w:rsidRPr="008D6FB6">
        <w:rPr>
          <w:rFonts w:cs="Times New Roman"/>
          <w:b/>
          <w:color w:val="131413"/>
          <w:sz w:val="20"/>
          <w:szCs w:val="20"/>
        </w:rPr>
        <w:t>B.G,</w:t>
      </w:r>
      <w:r w:rsidR="00E67441" w:rsidRPr="00E67441">
        <w:rPr>
          <w:rFonts w:cs="Times New Roman"/>
          <w:color w:val="131413"/>
          <w:sz w:val="20"/>
          <w:szCs w:val="20"/>
        </w:rPr>
        <w:t xml:space="preserve"> Hurn</w:t>
      </w:r>
      <w:r w:rsidR="00E67441">
        <w:rPr>
          <w:rFonts w:cs="Times New Roman"/>
          <w:color w:val="131413"/>
          <w:sz w:val="20"/>
          <w:szCs w:val="20"/>
        </w:rPr>
        <w:t>, SE,</w:t>
      </w:r>
      <w:r w:rsidR="00E67441" w:rsidRPr="00E67441">
        <w:rPr>
          <w:rFonts w:cs="Times New Roman"/>
          <w:color w:val="131413"/>
          <w:sz w:val="20"/>
          <w:szCs w:val="20"/>
        </w:rPr>
        <w:t xml:space="preserve"> Harding</w:t>
      </w:r>
      <w:r w:rsidR="00E67441">
        <w:rPr>
          <w:rFonts w:cs="Times New Roman"/>
          <w:color w:val="131413"/>
          <w:sz w:val="20"/>
          <w:szCs w:val="20"/>
        </w:rPr>
        <w:t xml:space="preserve"> M.P</w:t>
      </w:r>
      <w:r w:rsidR="00E67441" w:rsidRPr="00E67441">
        <w:rPr>
          <w:rFonts w:cs="Times New Roman"/>
          <w:color w:val="131413"/>
          <w:sz w:val="20"/>
          <w:szCs w:val="20"/>
        </w:rPr>
        <w:t>, Henry</w:t>
      </w:r>
      <w:r w:rsidR="00E67441">
        <w:rPr>
          <w:rFonts w:cs="Times New Roman"/>
          <w:color w:val="131413"/>
          <w:sz w:val="20"/>
          <w:szCs w:val="20"/>
        </w:rPr>
        <w:t xml:space="preserve">, R.A, </w:t>
      </w:r>
      <w:r w:rsidR="00E67441" w:rsidRPr="00E67441">
        <w:rPr>
          <w:rFonts w:cs="Times New Roman"/>
          <w:color w:val="131413"/>
          <w:sz w:val="20"/>
          <w:szCs w:val="20"/>
        </w:rPr>
        <w:t>Ware</w:t>
      </w:r>
      <w:r w:rsidR="00E67441">
        <w:rPr>
          <w:rFonts w:cs="Times New Roman"/>
          <w:color w:val="131413"/>
          <w:sz w:val="20"/>
          <w:szCs w:val="20"/>
        </w:rPr>
        <w:t>, R.S</w:t>
      </w:r>
      <w:r w:rsidR="00E67441">
        <w:rPr>
          <w:rFonts w:cs="Palatino"/>
          <w:b/>
          <w:bCs/>
          <w:sz w:val="20"/>
          <w:szCs w:val="20"/>
        </w:rPr>
        <w:t xml:space="preserve">. </w:t>
      </w:r>
      <w:r w:rsidR="00E67441" w:rsidRPr="00E67441">
        <w:rPr>
          <w:rFonts w:cs="Times New Roman"/>
          <w:color w:val="131413"/>
          <w:sz w:val="20"/>
          <w:szCs w:val="20"/>
        </w:rPr>
        <w:t>The effectiveness of non-surgical</w:t>
      </w:r>
      <w:r w:rsidR="00E67441">
        <w:rPr>
          <w:rFonts w:cs="Times New Roman"/>
          <w:color w:val="131413"/>
          <w:sz w:val="20"/>
          <w:szCs w:val="20"/>
        </w:rPr>
        <w:t xml:space="preserve"> </w:t>
      </w:r>
      <w:r w:rsidR="00E67441" w:rsidRPr="00E67441">
        <w:rPr>
          <w:rFonts w:cs="Times New Roman"/>
          <w:color w:val="131413"/>
          <w:sz w:val="20"/>
          <w:szCs w:val="20"/>
        </w:rPr>
        <w:t>interventions for common plantar</w:t>
      </w:r>
      <w:r w:rsidR="00E67441">
        <w:rPr>
          <w:rFonts w:cs="Times New Roman"/>
          <w:color w:val="131413"/>
          <w:sz w:val="20"/>
          <w:szCs w:val="20"/>
        </w:rPr>
        <w:t xml:space="preserve"> </w:t>
      </w:r>
      <w:r w:rsidR="00E67441" w:rsidRPr="00E67441">
        <w:rPr>
          <w:rFonts w:cs="Times New Roman"/>
          <w:color w:val="131413"/>
          <w:sz w:val="20"/>
          <w:szCs w:val="20"/>
        </w:rPr>
        <w:t>digital compressive neuropathy</w:t>
      </w:r>
      <w:r w:rsidR="00E67441">
        <w:rPr>
          <w:rFonts w:cs="Times New Roman"/>
          <w:color w:val="131413"/>
          <w:sz w:val="20"/>
          <w:szCs w:val="20"/>
        </w:rPr>
        <w:t xml:space="preserve"> </w:t>
      </w:r>
      <w:r w:rsidR="00E67441" w:rsidRPr="00E67441">
        <w:rPr>
          <w:rFonts w:cs="Times New Roman"/>
          <w:color w:val="131413"/>
          <w:sz w:val="20"/>
          <w:szCs w:val="20"/>
        </w:rPr>
        <w:t>(Morton’s neuroma): a systematic</w:t>
      </w:r>
      <w:r w:rsidR="00E67441">
        <w:rPr>
          <w:rFonts w:cs="Times New Roman"/>
          <w:color w:val="131413"/>
          <w:sz w:val="20"/>
          <w:szCs w:val="20"/>
        </w:rPr>
        <w:t xml:space="preserve"> </w:t>
      </w:r>
      <w:r w:rsidR="00E67441" w:rsidRPr="00E67441">
        <w:rPr>
          <w:rFonts w:cs="Times New Roman"/>
          <w:color w:val="131413"/>
          <w:sz w:val="20"/>
          <w:szCs w:val="20"/>
        </w:rPr>
        <w:t>review and meta-analysis. Journal o</w:t>
      </w:r>
      <w:r w:rsidR="00E67441">
        <w:rPr>
          <w:rFonts w:cs="Times New Roman"/>
          <w:color w:val="131413"/>
          <w:sz w:val="20"/>
          <w:szCs w:val="20"/>
        </w:rPr>
        <w:t>f Foot and Ankle Research 2019;</w:t>
      </w:r>
      <w:r w:rsidR="00E67441" w:rsidRPr="00E67441">
        <w:rPr>
          <w:rFonts w:cs="Times New Roman"/>
          <w:color w:val="131413"/>
          <w:sz w:val="20"/>
          <w:szCs w:val="20"/>
        </w:rPr>
        <w:t xml:space="preserve"> 12:12</w:t>
      </w:r>
      <w:r w:rsidR="00E67441">
        <w:rPr>
          <w:rFonts w:cs="Palatino"/>
          <w:bCs/>
          <w:sz w:val="20"/>
          <w:szCs w:val="20"/>
        </w:rPr>
        <w:t xml:space="preserve"> </w:t>
      </w:r>
      <w:r w:rsidR="00E67441" w:rsidRPr="00E67441">
        <w:rPr>
          <w:rFonts w:cs="Times New Roman"/>
          <w:color w:val="131413"/>
          <w:sz w:val="20"/>
          <w:szCs w:val="20"/>
        </w:rPr>
        <w:t>https://doi.org/10.1186/s13047-019-0320-7</w:t>
      </w:r>
    </w:p>
    <w:p w14:paraId="0FF13B56" w14:textId="77777777" w:rsidR="00102626" w:rsidRPr="001F5075" w:rsidRDefault="00102626" w:rsidP="00FB7AC1">
      <w:pPr>
        <w:pStyle w:val="EndnoteText"/>
        <w:ind w:left="-284"/>
        <w:rPr>
          <w:sz w:val="20"/>
          <w:szCs w:val="20"/>
        </w:rPr>
      </w:pPr>
      <w:r w:rsidRPr="001F5075">
        <w:rPr>
          <w:rFonts w:cs="Palatino"/>
          <w:b/>
          <w:bCs/>
          <w:sz w:val="20"/>
          <w:szCs w:val="20"/>
        </w:rPr>
        <w:t>Naraghi,R,</w:t>
      </w:r>
      <w:r w:rsidRPr="001F5075">
        <w:rPr>
          <w:rFonts w:cs="Palatino"/>
          <w:bCs/>
          <w:sz w:val="20"/>
          <w:szCs w:val="20"/>
        </w:rPr>
        <w:t xml:space="preserve"> Bremmer, A, Slack-Smith, L, Bryant, A. </w:t>
      </w:r>
      <w:hyperlink r:id="rId15" w:history="1">
        <w:r w:rsidRPr="001F5075">
          <w:rPr>
            <w:rFonts w:cs="Palatino"/>
            <w:bCs/>
            <w:sz w:val="20"/>
            <w:szCs w:val="20"/>
          </w:rPr>
          <w:t>Radiographic analysis of feet with and without Morton’s Neuroma</w:t>
        </w:r>
      </w:hyperlink>
      <w:r w:rsidRPr="001F5075">
        <w:rPr>
          <w:rFonts w:cs="Palatino"/>
          <w:bCs/>
          <w:sz w:val="20"/>
          <w:szCs w:val="20"/>
        </w:rPr>
        <w:t>. Foot &amp; Ankle International. 2017;38(3):310-317</w:t>
      </w:r>
    </w:p>
    <w:p w14:paraId="347E1501" w14:textId="650EA403" w:rsidR="00102626" w:rsidRPr="00FD223B" w:rsidRDefault="00102626" w:rsidP="00FB7AC1">
      <w:pPr>
        <w:ind w:left="-284"/>
        <w:rPr>
          <w:sz w:val="20"/>
          <w:szCs w:val="20"/>
        </w:rPr>
      </w:pPr>
      <w:r w:rsidRPr="001F5075">
        <w:rPr>
          <w:rFonts w:cs="Palatino"/>
          <w:b/>
          <w:bCs/>
          <w:sz w:val="20"/>
          <w:szCs w:val="20"/>
        </w:rPr>
        <w:t>Pastides, P</w:t>
      </w:r>
      <w:r w:rsidRPr="001F5075">
        <w:rPr>
          <w:rFonts w:cs="Palatino"/>
          <w:bCs/>
          <w:sz w:val="20"/>
          <w:szCs w:val="20"/>
        </w:rPr>
        <w:t xml:space="preserve">, Ell-Sallakh, Charalambides, C Morton’s neuroma: A clinical versus radiological </w:t>
      </w:r>
      <w:r w:rsidRPr="00FD223B">
        <w:rPr>
          <w:rFonts w:cs="Palatino"/>
          <w:bCs/>
          <w:sz w:val="20"/>
          <w:szCs w:val="20"/>
        </w:rPr>
        <w:t>diagnosis. Foot and Ankle Surgery 2012; 18:22-24</w:t>
      </w:r>
    </w:p>
    <w:p w14:paraId="63F89B22" w14:textId="77777777" w:rsidR="00102626" w:rsidRPr="001F5075" w:rsidRDefault="00102626" w:rsidP="00FB7AC1">
      <w:pPr>
        <w:ind w:left="-284"/>
        <w:rPr>
          <w:rFonts w:cs="Palatino"/>
          <w:bCs/>
          <w:sz w:val="20"/>
          <w:szCs w:val="20"/>
        </w:rPr>
      </w:pPr>
      <w:r w:rsidRPr="00FD223B">
        <w:rPr>
          <w:rFonts w:cs="Palatino"/>
          <w:b/>
          <w:bCs/>
          <w:sz w:val="20"/>
          <w:szCs w:val="20"/>
        </w:rPr>
        <w:t>Park, EH</w:t>
      </w:r>
      <w:r w:rsidRPr="00FD223B">
        <w:rPr>
          <w:rFonts w:cs="Palatino"/>
          <w:bCs/>
          <w:sz w:val="20"/>
          <w:szCs w:val="20"/>
        </w:rPr>
        <w:t xml:space="preserve">, Kim, YS, Lee, HJ, Koh, YG.  Metatarsal shortening osteotomy for decompression of Morton’s </w:t>
      </w:r>
      <w:r w:rsidRPr="001F5075">
        <w:rPr>
          <w:rFonts w:cs="Palatino"/>
          <w:bCs/>
          <w:sz w:val="20"/>
          <w:szCs w:val="20"/>
        </w:rPr>
        <w:t>Neuroma. Foot &amp; Ankle International 2013;34(12):1654-1660</w:t>
      </w:r>
    </w:p>
    <w:p w14:paraId="53644409" w14:textId="77777777" w:rsidR="00102626" w:rsidRPr="001F5075" w:rsidRDefault="00102626" w:rsidP="00FB7AC1">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ind w:left="-284"/>
        <w:rPr>
          <w:rFonts w:cs="Palatino"/>
          <w:bCs/>
          <w:sz w:val="20"/>
          <w:szCs w:val="20"/>
        </w:rPr>
      </w:pPr>
      <w:r w:rsidRPr="001F5075">
        <w:rPr>
          <w:rFonts w:cs="Palatino"/>
          <w:b/>
          <w:bCs/>
          <w:sz w:val="20"/>
          <w:szCs w:val="20"/>
        </w:rPr>
        <w:t>Rasmussen MR</w:t>
      </w:r>
      <w:r w:rsidRPr="001F5075">
        <w:rPr>
          <w:rFonts w:cs="Palatino"/>
          <w:bCs/>
          <w:sz w:val="20"/>
          <w:szCs w:val="20"/>
        </w:rPr>
        <w:t>, Kitaoka HB, Patzer GL. Non-operative treatment of plantar digital neuroma with single steroid injection. Clin. Orthop Relat Res 1996;(33):722-6</w:t>
      </w:r>
    </w:p>
    <w:p w14:paraId="4AAFA131" w14:textId="7DB70557" w:rsidR="00102626" w:rsidRPr="001F5075" w:rsidRDefault="00102626" w:rsidP="00FB7AC1">
      <w:pPr>
        <w:widowControl w:val="0"/>
        <w:autoSpaceDE w:val="0"/>
        <w:autoSpaceDN w:val="0"/>
        <w:adjustRightInd w:val="0"/>
        <w:ind w:left="-284"/>
        <w:rPr>
          <w:rFonts w:cs="Times New Roman"/>
          <w:sz w:val="20"/>
          <w:szCs w:val="20"/>
        </w:rPr>
      </w:pPr>
      <w:r w:rsidRPr="001F5075">
        <w:rPr>
          <w:rFonts w:cs="Times New Roman"/>
          <w:b/>
          <w:sz w:val="20"/>
          <w:szCs w:val="20"/>
        </w:rPr>
        <w:t>Robinson, C,</w:t>
      </w:r>
      <w:r w:rsidRPr="001F5075">
        <w:rPr>
          <w:rFonts w:cs="Times New Roman"/>
          <w:sz w:val="20"/>
          <w:szCs w:val="20"/>
        </w:rPr>
        <w:t xml:space="preserve"> Otter, SJ, Bowen, CJ. Clinical misdiagnosis of Morton’s neuroma:</w:t>
      </w:r>
      <w:r w:rsidR="007F57CD" w:rsidRPr="001F5075">
        <w:rPr>
          <w:rFonts w:cs="Times New Roman"/>
          <w:sz w:val="20"/>
          <w:szCs w:val="20"/>
        </w:rPr>
        <w:t xml:space="preserve"> </w:t>
      </w:r>
      <w:r w:rsidRPr="001F5075">
        <w:rPr>
          <w:rFonts w:cs="Times New Roman"/>
          <w:sz w:val="20"/>
          <w:szCs w:val="20"/>
        </w:rPr>
        <w:t>a case of early rheumatoid arthritis. British Journal of Podiatry August 2003; 6(3): 85–87</w:t>
      </w:r>
    </w:p>
    <w:p w14:paraId="404A72F1" w14:textId="77777777" w:rsidR="007F57CD" w:rsidRPr="001F5075" w:rsidRDefault="00102626" w:rsidP="00FB7AC1">
      <w:pPr>
        <w:widowControl w:val="0"/>
        <w:autoSpaceDE w:val="0"/>
        <w:autoSpaceDN w:val="0"/>
        <w:adjustRightInd w:val="0"/>
        <w:ind w:left="-284"/>
        <w:rPr>
          <w:b/>
          <w:sz w:val="20"/>
          <w:szCs w:val="20"/>
        </w:rPr>
      </w:pPr>
      <w:r w:rsidRPr="001F5075">
        <w:rPr>
          <w:rFonts w:cs="Palatino"/>
          <w:b/>
          <w:bCs/>
          <w:sz w:val="20"/>
          <w:szCs w:val="20"/>
        </w:rPr>
        <w:t>Sault, JD,</w:t>
      </w:r>
      <w:r w:rsidRPr="001F5075">
        <w:rPr>
          <w:rFonts w:cs="Palatino"/>
          <w:bCs/>
          <w:sz w:val="20"/>
          <w:szCs w:val="20"/>
        </w:rPr>
        <w:t xml:space="preserve"> Morris MV, Jayaseelan, DJ, Emerson-Kavchak, AJ. Manual therapy in the management of a patient with a symptomatic Morton’s Neuroma: A case report 2016; 21:307-310</w:t>
      </w:r>
      <w:r w:rsidRPr="001F5075">
        <w:rPr>
          <w:b/>
          <w:sz w:val="20"/>
          <w:szCs w:val="20"/>
        </w:rPr>
        <w:t xml:space="preserve"> </w:t>
      </w:r>
    </w:p>
    <w:p w14:paraId="41AF1F30" w14:textId="77777777" w:rsidR="00CD5841" w:rsidRPr="001F5075" w:rsidRDefault="00102626" w:rsidP="00FB7AC1">
      <w:pPr>
        <w:widowControl w:val="0"/>
        <w:autoSpaceDE w:val="0"/>
        <w:autoSpaceDN w:val="0"/>
        <w:adjustRightInd w:val="0"/>
        <w:ind w:left="-284"/>
        <w:rPr>
          <w:rFonts w:eastAsia="Times New Roman" w:cs="Arial"/>
          <w:color w:val="000000"/>
          <w:sz w:val="20"/>
          <w:szCs w:val="20"/>
          <w:shd w:val="clear" w:color="auto" w:fill="FFFFFF"/>
          <w:lang w:eastAsia="en-GB"/>
        </w:rPr>
      </w:pPr>
      <w:r w:rsidRPr="001F5075">
        <w:rPr>
          <w:rFonts w:cs="Palatino"/>
          <w:b/>
          <w:bCs/>
          <w:sz w:val="20"/>
          <w:szCs w:val="20"/>
        </w:rPr>
        <w:t xml:space="preserve">Tollafield DR, Williams, HA </w:t>
      </w:r>
      <w:r w:rsidR="003950D2" w:rsidRPr="001F5075">
        <w:rPr>
          <w:rFonts w:eastAsia="Times New Roman" w:cs="Arial"/>
          <w:color w:val="000000"/>
          <w:sz w:val="20"/>
          <w:szCs w:val="20"/>
          <w:shd w:val="clear" w:color="auto" w:fill="FFFFFF"/>
          <w:lang w:eastAsia="en-GB"/>
        </w:rPr>
        <w:t>The Use of Two Injectable Corticosteroid Preparations used in the Management of Foot Problems – a Clinical Audit Report. Tollafield DR, Williams HA. J British Pod. Med. 1996 51(12):171-174</w:t>
      </w:r>
    </w:p>
    <w:p w14:paraId="0D2B7B55" w14:textId="50BF57D9" w:rsidR="00CD5841" w:rsidRPr="001F5075" w:rsidRDefault="00CD5841" w:rsidP="00FB7AC1">
      <w:pPr>
        <w:widowControl w:val="0"/>
        <w:autoSpaceDE w:val="0"/>
        <w:autoSpaceDN w:val="0"/>
        <w:adjustRightInd w:val="0"/>
        <w:ind w:left="-284"/>
        <w:rPr>
          <w:rFonts w:eastAsia="Times New Roman" w:cs="Arial"/>
          <w:color w:val="000000"/>
          <w:sz w:val="20"/>
          <w:szCs w:val="20"/>
          <w:shd w:val="clear" w:color="auto" w:fill="FFFFFF"/>
          <w:lang w:eastAsia="en-GB"/>
        </w:rPr>
      </w:pPr>
      <w:r w:rsidRPr="001F5075">
        <w:rPr>
          <w:rFonts w:cs="Palatino"/>
          <w:b/>
          <w:bCs/>
          <w:sz w:val="20"/>
          <w:szCs w:val="20"/>
        </w:rPr>
        <w:t>Tollafield DR</w:t>
      </w:r>
      <w:r w:rsidRPr="001F5075">
        <w:rPr>
          <w:sz w:val="20"/>
          <w:szCs w:val="20"/>
        </w:rPr>
        <w:t xml:space="preserve"> The Changing Face of Consent and Patient Communication. Featuring Risk. Reflective Podiatry Practise. Busypencilcase Communications Ltd 2018:1(10-1):1-10 </w:t>
      </w:r>
    </w:p>
    <w:p w14:paraId="2B4DD0D3" w14:textId="77777777" w:rsidR="00234C81" w:rsidRPr="001F5075" w:rsidRDefault="00FD223B" w:rsidP="00FB7AC1">
      <w:pPr>
        <w:widowControl w:val="0"/>
        <w:autoSpaceDE w:val="0"/>
        <w:autoSpaceDN w:val="0"/>
        <w:adjustRightInd w:val="0"/>
        <w:ind w:left="-284"/>
        <w:rPr>
          <w:rFonts w:eastAsia="Times New Roman" w:cs="Arial"/>
          <w:color w:val="000000"/>
          <w:sz w:val="20"/>
          <w:szCs w:val="20"/>
          <w:shd w:val="clear" w:color="auto" w:fill="FFFFFF"/>
          <w:lang w:eastAsia="en-GB"/>
        </w:rPr>
      </w:pPr>
      <w:r w:rsidRPr="001F5075">
        <w:rPr>
          <w:rFonts w:cs="Palatino"/>
          <w:b/>
          <w:bCs/>
          <w:sz w:val="20"/>
          <w:szCs w:val="20"/>
        </w:rPr>
        <w:t xml:space="preserve">Tollafield DR </w:t>
      </w:r>
      <w:r w:rsidRPr="001F5075">
        <w:rPr>
          <w:sz w:val="20"/>
          <w:szCs w:val="20"/>
        </w:rPr>
        <w:t>Defending a case in court (Consent) Part 2. Reflective Podiatry Practise. Busypencilcase Communications Ltd</w:t>
      </w:r>
      <w:r w:rsidR="00CD5841" w:rsidRPr="001F5075">
        <w:rPr>
          <w:rFonts w:eastAsia="Times New Roman" w:cs="Arial"/>
          <w:color w:val="000000"/>
          <w:sz w:val="20"/>
          <w:szCs w:val="20"/>
          <w:shd w:val="clear" w:color="auto" w:fill="FFFFFF"/>
          <w:lang w:eastAsia="en-GB"/>
        </w:rPr>
        <w:t xml:space="preserve"> </w:t>
      </w:r>
      <w:r w:rsidRPr="001F5075">
        <w:rPr>
          <w:sz w:val="20"/>
          <w:szCs w:val="20"/>
        </w:rPr>
        <w:t xml:space="preserve">2018:1(10-2):11-20 </w:t>
      </w:r>
    </w:p>
    <w:p w14:paraId="34C5B235" w14:textId="76EE1E7B" w:rsidR="00234C81" w:rsidRPr="001F5075" w:rsidRDefault="009D7CF4" w:rsidP="00FB7AC1">
      <w:pPr>
        <w:widowControl w:val="0"/>
        <w:autoSpaceDE w:val="0"/>
        <w:autoSpaceDN w:val="0"/>
        <w:adjustRightInd w:val="0"/>
        <w:ind w:left="-284"/>
        <w:rPr>
          <w:b/>
          <w:sz w:val="20"/>
          <w:szCs w:val="20"/>
        </w:rPr>
      </w:pPr>
      <w:r w:rsidRPr="001F5075">
        <w:rPr>
          <w:b/>
          <w:sz w:val="20"/>
          <w:szCs w:val="20"/>
        </w:rPr>
        <w:t>Tollafield DR</w:t>
      </w:r>
      <w:r w:rsidRPr="001F5075">
        <w:rPr>
          <w:sz w:val="20"/>
          <w:szCs w:val="20"/>
        </w:rPr>
        <w:t xml:space="preserve"> Surgery &amp; the Foot in Clinical Skills in Treating the Foot in Tollafield &amp; Merriman</w:t>
      </w:r>
      <w:r w:rsidR="00723EB5" w:rsidRPr="001F5075">
        <w:rPr>
          <w:sz w:val="20"/>
          <w:szCs w:val="20"/>
        </w:rPr>
        <w:t>. Churchill Livingstone 1997; p108.</w:t>
      </w:r>
    </w:p>
    <w:p w14:paraId="69ABB043" w14:textId="0C8D019B" w:rsidR="00723EB5" w:rsidRPr="001F5075" w:rsidRDefault="00723EB5" w:rsidP="00723EB5">
      <w:pPr>
        <w:widowControl w:val="0"/>
        <w:autoSpaceDE w:val="0"/>
        <w:autoSpaceDN w:val="0"/>
        <w:adjustRightInd w:val="0"/>
        <w:ind w:left="-284"/>
        <w:rPr>
          <w:b/>
          <w:sz w:val="20"/>
          <w:szCs w:val="20"/>
        </w:rPr>
      </w:pPr>
      <w:bookmarkStart w:id="1" w:name="SPC"/>
      <w:r w:rsidRPr="001F5075">
        <w:rPr>
          <w:b/>
          <w:sz w:val="20"/>
          <w:szCs w:val="20"/>
        </w:rPr>
        <w:t>Tollafield DR</w:t>
      </w:r>
      <w:r w:rsidRPr="001F5075">
        <w:rPr>
          <w:sz w:val="20"/>
          <w:szCs w:val="20"/>
        </w:rPr>
        <w:t xml:space="preserve"> Surgery &amp; the Foot in Clinical Skills in Treating the Foot in Turner &amp; Merriman. Churchill Livingstone 2005; p122.</w:t>
      </w:r>
    </w:p>
    <w:p w14:paraId="4A2BFA58" w14:textId="77777777" w:rsidR="007500C0" w:rsidRDefault="007500C0" w:rsidP="00FB7AC1">
      <w:pPr>
        <w:widowControl w:val="0"/>
        <w:autoSpaceDE w:val="0"/>
        <w:autoSpaceDN w:val="0"/>
        <w:adjustRightInd w:val="0"/>
        <w:ind w:left="-284"/>
        <w:rPr>
          <w:b/>
          <w:sz w:val="20"/>
          <w:szCs w:val="20"/>
        </w:rPr>
      </w:pPr>
    </w:p>
    <w:p w14:paraId="50116E74" w14:textId="0565C0C4" w:rsidR="007500C0" w:rsidRDefault="008D6FB6" w:rsidP="008D6FB6">
      <w:pPr>
        <w:widowControl w:val="0"/>
        <w:autoSpaceDE w:val="0"/>
        <w:autoSpaceDN w:val="0"/>
        <w:adjustRightInd w:val="0"/>
        <w:ind w:left="-284"/>
        <w:jc w:val="center"/>
        <w:rPr>
          <w:b/>
          <w:sz w:val="20"/>
          <w:szCs w:val="20"/>
        </w:rPr>
      </w:pPr>
      <w:r>
        <w:rPr>
          <w:b/>
          <w:sz w:val="20"/>
          <w:szCs w:val="20"/>
        </w:rPr>
        <w:t>***</w:t>
      </w:r>
    </w:p>
    <w:p w14:paraId="6BF5FD19" w14:textId="3C359AA3" w:rsidR="00234C81" w:rsidRPr="001F5075" w:rsidRDefault="00234C81" w:rsidP="00FB7AC1">
      <w:pPr>
        <w:widowControl w:val="0"/>
        <w:autoSpaceDE w:val="0"/>
        <w:autoSpaceDN w:val="0"/>
        <w:adjustRightInd w:val="0"/>
        <w:ind w:left="-284"/>
        <w:rPr>
          <w:rFonts w:eastAsia="Times New Roman" w:cs="Arial"/>
          <w:color w:val="000000"/>
          <w:sz w:val="20"/>
          <w:szCs w:val="20"/>
          <w:shd w:val="clear" w:color="auto" w:fill="FFFFFF"/>
          <w:lang w:eastAsia="en-GB"/>
        </w:rPr>
      </w:pPr>
      <w:r w:rsidRPr="001F5075">
        <w:rPr>
          <w:b/>
          <w:sz w:val="20"/>
          <w:szCs w:val="20"/>
        </w:rPr>
        <w:t>Sensitivity versus specificity.</w:t>
      </w:r>
      <w:r w:rsidRPr="001F5075">
        <w:rPr>
          <w:sz w:val="20"/>
          <w:szCs w:val="20"/>
        </w:rPr>
        <w:t xml:space="preserve"> </w:t>
      </w:r>
      <w:hyperlink r:id="rId16" w:history="1">
        <w:r w:rsidRPr="001F5075">
          <w:rPr>
            <w:rStyle w:val="Hyperlink"/>
            <w:sz w:val="20"/>
            <w:szCs w:val="20"/>
          </w:rPr>
          <w:t>Gregg Martin</w:t>
        </w:r>
      </w:hyperlink>
      <w:r w:rsidRPr="001F5075">
        <w:rPr>
          <w:sz w:val="20"/>
          <w:szCs w:val="20"/>
        </w:rPr>
        <w:t xml:space="preserve"> 3minute </w:t>
      </w:r>
      <w:bookmarkEnd w:id="1"/>
      <w:r w:rsidRPr="001F5075">
        <w:rPr>
          <w:sz w:val="20"/>
          <w:szCs w:val="20"/>
        </w:rPr>
        <w:t>quick review. Terms used in many papers often express whether a disease is truly positive (sensitive) or truly negative thus excluding a disease (sensitive). E.g MRI, Ultrasound and clinical testing. Expressed as a percentage</w:t>
      </w:r>
      <w:r w:rsidR="0064236B">
        <w:rPr>
          <w:sz w:val="20"/>
          <w:szCs w:val="20"/>
        </w:rPr>
        <w:t xml:space="preserve"> the h</w:t>
      </w:r>
      <w:r w:rsidRPr="001F5075">
        <w:rPr>
          <w:sz w:val="20"/>
          <w:szCs w:val="20"/>
        </w:rPr>
        <w:t xml:space="preserve">igher </w:t>
      </w:r>
      <w:r w:rsidR="0064236B">
        <w:rPr>
          <w:sz w:val="20"/>
          <w:szCs w:val="20"/>
        </w:rPr>
        <w:t xml:space="preserve">value is </w:t>
      </w:r>
      <w:r w:rsidRPr="001F5075">
        <w:rPr>
          <w:sz w:val="20"/>
          <w:szCs w:val="20"/>
        </w:rPr>
        <w:t>better.</w:t>
      </w:r>
      <w:r w:rsidR="00931C51">
        <w:rPr>
          <w:sz w:val="20"/>
          <w:szCs w:val="20"/>
        </w:rPr>
        <w:t xml:space="preserve"> </w:t>
      </w:r>
    </w:p>
    <w:p w14:paraId="18C49A31" w14:textId="77777777" w:rsidR="00234C81" w:rsidRPr="001F5075" w:rsidRDefault="00234C81" w:rsidP="005F0A5E">
      <w:pPr>
        <w:rPr>
          <w:rFonts w:cs="Palatino"/>
          <w:bCs/>
          <w:sz w:val="20"/>
          <w:szCs w:val="20"/>
        </w:rPr>
      </w:pPr>
    </w:p>
    <w:p w14:paraId="56BF73F0" w14:textId="2BA0DF91" w:rsidR="001F5075" w:rsidRPr="00FD223B" w:rsidRDefault="008D6FB6" w:rsidP="008D6FB6">
      <w:pPr>
        <w:jc w:val="center"/>
        <w:rPr>
          <w:rFonts w:cs="Palatino"/>
          <w:bCs/>
          <w:sz w:val="20"/>
          <w:szCs w:val="20"/>
        </w:rPr>
      </w:pPr>
      <w:r>
        <w:rPr>
          <w:rFonts w:cs="Palatino"/>
          <w:bCs/>
          <w:sz w:val="20"/>
          <w:szCs w:val="20"/>
        </w:rPr>
        <w:t>***</w:t>
      </w:r>
    </w:p>
    <w:p w14:paraId="4991FBBA" w14:textId="31E1326D" w:rsidR="0055047A" w:rsidRDefault="006F6424" w:rsidP="00234C81">
      <w:pPr>
        <w:pStyle w:val="Heading1"/>
        <w:rPr>
          <w:rStyle w:val="IntenseReference"/>
          <w:rFonts w:asciiTheme="minorHAnsi" w:hAnsiTheme="minorHAnsi"/>
          <w:color w:val="000000" w:themeColor="text1"/>
          <w:sz w:val="20"/>
          <w:szCs w:val="20"/>
        </w:rPr>
      </w:pPr>
      <w:r w:rsidRPr="001F5075">
        <w:rPr>
          <w:rStyle w:val="IntenseReference"/>
          <w:rFonts w:asciiTheme="minorHAnsi" w:hAnsiTheme="minorHAnsi"/>
          <w:color w:val="000000" w:themeColor="text1"/>
          <w:sz w:val="20"/>
          <w:szCs w:val="20"/>
        </w:rPr>
        <w:t xml:space="preserve">This article is based on a talk given to Podiatry branches in </w:t>
      </w:r>
      <w:r w:rsidR="00234C81" w:rsidRPr="001F5075">
        <w:rPr>
          <w:rStyle w:val="IntenseReference"/>
          <w:rFonts w:asciiTheme="minorHAnsi" w:hAnsiTheme="minorHAnsi"/>
          <w:color w:val="000000" w:themeColor="text1"/>
          <w:sz w:val="20"/>
          <w:szCs w:val="20"/>
        </w:rPr>
        <w:t>England during 2018</w:t>
      </w:r>
      <w:r w:rsidR="0055047A">
        <w:rPr>
          <w:rStyle w:val="IntenseReference"/>
          <w:rFonts w:asciiTheme="minorHAnsi" w:hAnsiTheme="minorHAnsi"/>
          <w:color w:val="000000" w:themeColor="text1"/>
          <w:sz w:val="20"/>
          <w:szCs w:val="20"/>
        </w:rPr>
        <w:t xml:space="preserve"> and a lecture to the podiatry surgeons conference 2019</w:t>
      </w:r>
      <w:r w:rsidR="00234C81" w:rsidRPr="001F5075">
        <w:rPr>
          <w:rStyle w:val="IntenseReference"/>
          <w:rFonts w:asciiTheme="minorHAnsi" w:hAnsiTheme="minorHAnsi"/>
          <w:color w:val="000000" w:themeColor="text1"/>
          <w:sz w:val="20"/>
          <w:szCs w:val="20"/>
        </w:rPr>
        <w:t xml:space="preserve">. </w:t>
      </w:r>
    </w:p>
    <w:p w14:paraId="0B8EEF30" w14:textId="1E65FC6F" w:rsidR="00250A2A" w:rsidRDefault="00234C81" w:rsidP="00234C81">
      <w:pPr>
        <w:pStyle w:val="Heading1"/>
        <w:rPr>
          <w:rStyle w:val="IntenseReference"/>
          <w:b w:val="0"/>
          <w:color w:val="000000" w:themeColor="text1"/>
          <w:sz w:val="20"/>
          <w:szCs w:val="20"/>
        </w:rPr>
      </w:pPr>
      <w:r w:rsidRPr="001F5075">
        <w:rPr>
          <w:rStyle w:val="IntenseReference"/>
          <w:rFonts w:asciiTheme="minorHAnsi" w:hAnsiTheme="minorHAnsi"/>
          <w:color w:val="000000" w:themeColor="text1"/>
          <w:sz w:val="20"/>
          <w:szCs w:val="20"/>
        </w:rPr>
        <w:t>IF</w:t>
      </w:r>
      <w:r w:rsidR="006F6424" w:rsidRPr="001F5075">
        <w:rPr>
          <w:rStyle w:val="IntenseReference"/>
          <w:rFonts w:asciiTheme="minorHAnsi" w:hAnsiTheme="minorHAnsi"/>
          <w:color w:val="000000" w:themeColor="text1"/>
          <w:sz w:val="20"/>
          <w:szCs w:val="20"/>
        </w:rPr>
        <w:t xml:space="preserve"> you would like to have a talk on this or another related subject, please contact me</w:t>
      </w:r>
      <w:r w:rsidR="005F0A5E" w:rsidRPr="001F5075">
        <w:rPr>
          <w:rStyle w:val="IntenseReference"/>
          <w:rFonts w:asciiTheme="minorHAnsi" w:hAnsiTheme="minorHAnsi"/>
          <w:color w:val="000000" w:themeColor="text1"/>
          <w:sz w:val="20"/>
          <w:szCs w:val="20"/>
        </w:rPr>
        <w:t xml:space="preserve"> - </w:t>
      </w:r>
      <w:r w:rsidR="006F6424" w:rsidRPr="001F5075">
        <w:rPr>
          <w:rStyle w:val="IntenseReference"/>
          <w:rFonts w:asciiTheme="minorHAnsi" w:hAnsiTheme="minorHAnsi"/>
          <w:color w:val="000000" w:themeColor="text1"/>
          <w:sz w:val="20"/>
          <w:szCs w:val="20"/>
        </w:rPr>
        <w:t>David Tollafield at</w:t>
      </w:r>
      <w:r w:rsidR="006F6424" w:rsidRPr="001F5075">
        <w:rPr>
          <w:rStyle w:val="IntenseReference"/>
          <w:b w:val="0"/>
          <w:color w:val="000000" w:themeColor="text1"/>
          <w:sz w:val="20"/>
          <w:szCs w:val="20"/>
        </w:rPr>
        <w:t xml:space="preserve"> </w:t>
      </w:r>
    </w:p>
    <w:p w14:paraId="09C9CD27" w14:textId="68F0F63D" w:rsidR="00234C81" w:rsidRPr="00931C51" w:rsidRDefault="002C30A8" w:rsidP="00234C81">
      <w:pPr>
        <w:pStyle w:val="Heading1"/>
        <w:rPr>
          <w:rFonts w:asciiTheme="minorHAnsi" w:hAnsiTheme="minorHAnsi"/>
          <w:b/>
          <w:sz w:val="20"/>
        </w:rPr>
      </w:pPr>
      <w:hyperlink r:id="rId17" w:history="1">
        <w:r w:rsidR="00B11944" w:rsidRPr="00931C51">
          <w:rPr>
            <w:rStyle w:val="Hyperlink"/>
            <w:rFonts w:asciiTheme="minorHAnsi" w:hAnsiTheme="minorHAnsi"/>
            <w:b/>
            <w:sz w:val="20"/>
          </w:rPr>
          <w:t>davidt@busypencilcase.com</w:t>
        </w:r>
      </w:hyperlink>
    </w:p>
    <w:p w14:paraId="7F236596" w14:textId="5242CFB4" w:rsidR="00B11944" w:rsidRPr="00B11944" w:rsidRDefault="00B11944" w:rsidP="00B11944"/>
    <w:p w14:paraId="05AD909B" w14:textId="465647F4" w:rsidR="00234C81" w:rsidRDefault="008824D2" w:rsidP="00234C81">
      <w:pPr>
        <w:rPr>
          <w:sz w:val="20"/>
          <w:szCs w:val="20"/>
        </w:rPr>
      </w:pPr>
      <w:r>
        <w:rPr>
          <w:sz w:val="20"/>
          <w:szCs w:val="20"/>
        </w:rPr>
        <w:t>Check out my latest book from Amazon Kindle Digital Publishing. £5.70 E-book. Paperback to follow later in the summer.</w:t>
      </w:r>
    </w:p>
    <w:p w14:paraId="77132DFC" w14:textId="46C37B89" w:rsidR="008824D2" w:rsidRDefault="008824D2" w:rsidP="00234C81">
      <w:pPr>
        <w:rPr>
          <w:sz w:val="20"/>
          <w:szCs w:val="20"/>
        </w:rPr>
      </w:pPr>
    </w:p>
    <w:p w14:paraId="546708E4" w14:textId="77777777" w:rsidR="00702622" w:rsidRDefault="00702622" w:rsidP="00234C81">
      <w:pPr>
        <w:rPr>
          <w:sz w:val="20"/>
          <w:szCs w:val="20"/>
        </w:rPr>
      </w:pPr>
    </w:p>
    <w:p w14:paraId="2E0A29C3" w14:textId="54DF2E7A" w:rsidR="00702622" w:rsidRDefault="00EA7592" w:rsidP="00234C81">
      <w:pPr>
        <w:rPr>
          <w:sz w:val="20"/>
          <w:szCs w:val="20"/>
        </w:rPr>
      </w:pPr>
      <w:r>
        <w:rPr>
          <w:noProof/>
          <w:sz w:val="20"/>
          <w:szCs w:val="20"/>
          <w:lang w:eastAsia="en-GB"/>
        </w:rPr>
        <w:drawing>
          <wp:inline distT="0" distB="0" distL="0" distR="0" wp14:anchorId="1106F0F7" wp14:editId="4B79BE4F">
            <wp:extent cx="2635250" cy="17640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 cover Bun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35250" cy="1764030"/>
                    </a:xfrm>
                    <a:prstGeom prst="rect">
                      <a:avLst/>
                    </a:prstGeom>
                  </pic:spPr>
                </pic:pic>
              </a:graphicData>
            </a:graphic>
          </wp:inline>
        </w:drawing>
      </w:r>
    </w:p>
    <w:p w14:paraId="2B361B46" w14:textId="77777777" w:rsidR="00702622" w:rsidRDefault="00702622" w:rsidP="00234C81">
      <w:pPr>
        <w:rPr>
          <w:sz w:val="20"/>
          <w:szCs w:val="20"/>
        </w:rPr>
      </w:pPr>
    </w:p>
    <w:p w14:paraId="35D80E4A" w14:textId="4C2027FF" w:rsidR="008824D2" w:rsidRPr="008824D2" w:rsidRDefault="008824D2" w:rsidP="00234C81">
      <w:pPr>
        <w:rPr>
          <w:rStyle w:val="IntenseReference"/>
          <w:rFonts w:ascii="Arial Rounded MT Bold" w:hAnsi="Arial Rounded MT Bold" w:cs="Arial"/>
          <w:b w:val="0"/>
          <w:i/>
          <w:color w:val="000000" w:themeColor="text1"/>
          <w:sz w:val="22"/>
          <w:szCs w:val="20"/>
        </w:rPr>
      </w:pPr>
      <w:r w:rsidRPr="008824D2">
        <w:rPr>
          <w:rFonts w:ascii="Arial Rounded MT Bold" w:hAnsi="Arial Rounded MT Bold" w:cs="Arial"/>
          <w:i/>
          <w:sz w:val="20"/>
          <w:szCs w:val="20"/>
        </w:rPr>
        <w:t>Beta readers and reviewers are always welcome</w:t>
      </w:r>
      <w:r>
        <w:rPr>
          <w:rFonts w:ascii="Arial Rounded MT Bold" w:hAnsi="Arial Rounded MT Bold" w:cs="Arial"/>
          <w:i/>
          <w:sz w:val="20"/>
          <w:szCs w:val="20"/>
        </w:rPr>
        <w:t xml:space="preserve"> for my books and articles</w:t>
      </w:r>
      <w:r w:rsidRPr="008824D2">
        <w:rPr>
          <w:rFonts w:ascii="Arial Rounded MT Bold" w:hAnsi="Arial Rounded MT Bold" w:cs="Arial"/>
          <w:i/>
          <w:sz w:val="20"/>
          <w:szCs w:val="20"/>
        </w:rPr>
        <w:t xml:space="preserve">. </w:t>
      </w:r>
    </w:p>
    <w:sectPr w:rsidR="008824D2" w:rsidRPr="008824D2" w:rsidSect="004148D3">
      <w:type w:val="continuous"/>
      <w:pgSz w:w="11900" w:h="16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8771" w14:textId="77777777" w:rsidR="002C30A8" w:rsidRDefault="002C30A8" w:rsidP="00456BF1">
      <w:r>
        <w:separator/>
      </w:r>
    </w:p>
  </w:endnote>
  <w:endnote w:type="continuationSeparator" w:id="0">
    <w:p w14:paraId="188F845A" w14:textId="77777777" w:rsidR="002C30A8" w:rsidRDefault="002C30A8" w:rsidP="0045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84B4" w14:textId="77777777" w:rsidR="00456BF1" w:rsidRDefault="00456BF1" w:rsidP="00A72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26C61" w14:textId="77777777" w:rsidR="00456BF1" w:rsidRDefault="00456BF1" w:rsidP="00456B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DD5E" w14:textId="77777777" w:rsidR="00A7256D" w:rsidRDefault="00A7256D" w:rsidP="003562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0A8">
      <w:rPr>
        <w:rStyle w:val="PageNumber"/>
        <w:noProof/>
      </w:rPr>
      <w:t>33</w:t>
    </w:r>
    <w:r>
      <w:rPr>
        <w:rStyle w:val="PageNumber"/>
      </w:rPr>
      <w:fldChar w:fldCharType="end"/>
    </w:r>
  </w:p>
  <w:p w14:paraId="0D253B48" w14:textId="6ADFDE84" w:rsidR="00250A2A" w:rsidRDefault="00FB7AC1" w:rsidP="00250A2A">
    <w:pPr>
      <w:ind w:right="360"/>
      <w:jc w:val="center"/>
      <w:rPr>
        <w:sz w:val="18"/>
        <w:szCs w:val="20"/>
      </w:rPr>
    </w:pPr>
    <w:r>
      <w:rPr>
        <w:sz w:val="18"/>
        <w:szCs w:val="20"/>
      </w:rPr>
      <w:t>W</w:t>
    </w:r>
    <w:r w:rsidR="001F5075">
      <w:rPr>
        <w:sz w:val="18"/>
        <w:szCs w:val="20"/>
      </w:rPr>
      <w:t>hy does treatment fail?</w:t>
    </w:r>
    <w:r>
      <w:rPr>
        <w:sz w:val="18"/>
        <w:szCs w:val="20"/>
      </w:rPr>
      <w:t xml:space="preserve"> </w:t>
    </w:r>
    <w:r w:rsidRPr="00FB7AC1">
      <w:rPr>
        <w:sz w:val="18"/>
        <w:szCs w:val="20"/>
      </w:rPr>
      <w:t xml:space="preserve"> </w:t>
    </w:r>
    <w:r w:rsidR="00D02F9F">
      <w:rPr>
        <w:sz w:val="18"/>
        <w:szCs w:val="20"/>
      </w:rPr>
      <w:t xml:space="preserve">David R Tollafield </w:t>
    </w:r>
    <w:r w:rsidR="00D02F9F" w:rsidRPr="00FB7AC1">
      <w:rPr>
        <w:sz w:val="18"/>
        <w:szCs w:val="20"/>
      </w:rPr>
      <w:t>Reflective Podiatric Practice.</w:t>
    </w:r>
    <w:r w:rsidR="00D02F9F">
      <w:rPr>
        <w:sz w:val="18"/>
        <w:szCs w:val="20"/>
      </w:rPr>
      <w:t xml:space="preserve"> </w:t>
    </w:r>
    <w:r w:rsidR="002171E4">
      <w:rPr>
        <w:sz w:val="18"/>
        <w:szCs w:val="20"/>
      </w:rPr>
      <w:t>2019. 2(6</w:t>
    </w:r>
    <w:r w:rsidRPr="00FB7AC1">
      <w:rPr>
        <w:sz w:val="18"/>
        <w:szCs w:val="20"/>
      </w:rPr>
      <w:t>):</w:t>
    </w:r>
    <w:r w:rsidR="00A7256D">
      <w:rPr>
        <w:sz w:val="18"/>
        <w:szCs w:val="20"/>
      </w:rPr>
      <w:t>33-38</w:t>
    </w:r>
    <w:r w:rsidRPr="00FB7AC1">
      <w:rPr>
        <w:sz w:val="18"/>
        <w:szCs w:val="20"/>
      </w:rPr>
      <w:t xml:space="preserve"> </w:t>
    </w:r>
  </w:p>
  <w:p w14:paraId="11673E7D" w14:textId="685FF4DF" w:rsidR="00FB7AC1" w:rsidRPr="00FB7AC1" w:rsidRDefault="00FB7AC1" w:rsidP="00D02F9F">
    <w:pPr>
      <w:jc w:val="center"/>
      <w:rPr>
        <w:sz w:val="18"/>
        <w:szCs w:val="20"/>
      </w:rPr>
    </w:pPr>
    <w:r w:rsidRPr="00FB7AC1">
      <w:rPr>
        <w:sz w:val="18"/>
        <w:szCs w:val="20"/>
      </w:rPr>
      <w:t>© Published by Busypencilcase Communications Ltd.</w:t>
    </w:r>
  </w:p>
  <w:p w14:paraId="0C019E11" w14:textId="5D7B97A7" w:rsidR="00456BF1" w:rsidRDefault="00456BF1" w:rsidP="00456B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07EC" w14:textId="77777777" w:rsidR="002C30A8" w:rsidRDefault="002C30A8" w:rsidP="00456BF1">
      <w:r>
        <w:separator/>
      </w:r>
    </w:p>
  </w:footnote>
  <w:footnote w:type="continuationSeparator" w:id="0">
    <w:p w14:paraId="456565CF" w14:textId="77777777" w:rsidR="002C30A8" w:rsidRDefault="002C30A8" w:rsidP="00456B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890"/>
    <w:multiLevelType w:val="hybridMultilevel"/>
    <w:tmpl w:val="94D63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B6C9A"/>
    <w:multiLevelType w:val="hybridMultilevel"/>
    <w:tmpl w:val="2CE8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4F70A5"/>
    <w:multiLevelType w:val="hybridMultilevel"/>
    <w:tmpl w:val="7E8E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61"/>
    <w:rsid w:val="000236C0"/>
    <w:rsid w:val="00024625"/>
    <w:rsid w:val="00045C36"/>
    <w:rsid w:val="00067286"/>
    <w:rsid w:val="00073B4E"/>
    <w:rsid w:val="000A7737"/>
    <w:rsid w:val="000B5670"/>
    <w:rsid w:val="00102626"/>
    <w:rsid w:val="0011283D"/>
    <w:rsid w:val="0016768E"/>
    <w:rsid w:val="00196D12"/>
    <w:rsid w:val="001A2983"/>
    <w:rsid w:val="001D2F51"/>
    <w:rsid w:val="001D6358"/>
    <w:rsid w:val="001E67D0"/>
    <w:rsid w:val="001F2FAB"/>
    <w:rsid w:val="001F5075"/>
    <w:rsid w:val="002171E4"/>
    <w:rsid w:val="00234C81"/>
    <w:rsid w:val="00234E28"/>
    <w:rsid w:val="002446C8"/>
    <w:rsid w:val="00250A2A"/>
    <w:rsid w:val="00251A2F"/>
    <w:rsid w:val="00251D90"/>
    <w:rsid w:val="002930CF"/>
    <w:rsid w:val="002A6288"/>
    <w:rsid w:val="002C0197"/>
    <w:rsid w:val="002C30A8"/>
    <w:rsid w:val="002D5841"/>
    <w:rsid w:val="002F2EE8"/>
    <w:rsid w:val="002F606F"/>
    <w:rsid w:val="00320143"/>
    <w:rsid w:val="00342659"/>
    <w:rsid w:val="003629D7"/>
    <w:rsid w:val="0036505A"/>
    <w:rsid w:val="003919D0"/>
    <w:rsid w:val="00394F57"/>
    <w:rsid w:val="003950D2"/>
    <w:rsid w:val="003C6057"/>
    <w:rsid w:val="003E5967"/>
    <w:rsid w:val="004148D3"/>
    <w:rsid w:val="004264E0"/>
    <w:rsid w:val="00456BF1"/>
    <w:rsid w:val="004861EC"/>
    <w:rsid w:val="004C4D47"/>
    <w:rsid w:val="004C5947"/>
    <w:rsid w:val="004D7FC1"/>
    <w:rsid w:val="0055047A"/>
    <w:rsid w:val="00567C67"/>
    <w:rsid w:val="005736F6"/>
    <w:rsid w:val="00574B50"/>
    <w:rsid w:val="00596432"/>
    <w:rsid w:val="005B1C71"/>
    <w:rsid w:val="005D0869"/>
    <w:rsid w:val="005E1B82"/>
    <w:rsid w:val="005E4FCA"/>
    <w:rsid w:val="005F0A5E"/>
    <w:rsid w:val="00602C2B"/>
    <w:rsid w:val="00630FA3"/>
    <w:rsid w:val="0063157B"/>
    <w:rsid w:val="00634E47"/>
    <w:rsid w:val="0064236B"/>
    <w:rsid w:val="00651DCA"/>
    <w:rsid w:val="00696CA8"/>
    <w:rsid w:val="006A1F7A"/>
    <w:rsid w:val="006B61CD"/>
    <w:rsid w:val="006D10B6"/>
    <w:rsid w:val="006E3B47"/>
    <w:rsid w:val="006F6424"/>
    <w:rsid w:val="00702622"/>
    <w:rsid w:val="00711B8B"/>
    <w:rsid w:val="007158D0"/>
    <w:rsid w:val="00716604"/>
    <w:rsid w:val="00723EB5"/>
    <w:rsid w:val="007500C0"/>
    <w:rsid w:val="00754BB4"/>
    <w:rsid w:val="007639AB"/>
    <w:rsid w:val="00785938"/>
    <w:rsid w:val="007966E0"/>
    <w:rsid w:val="007A6C84"/>
    <w:rsid w:val="007B1289"/>
    <w:rsid w:val="007F57CD"/>
    <w:rsid w:val="00811EA5"/>
    <w:rsid w:val="008131CF"/>
    <w:rsid w:val="0082310F"/>
    <w:rsid w:val="00835309"/>
    <w:rsid w:val="00836B8B"/>
    <w:rsid w:val="008824D2"/>
    <w:rsid w:val="00893A18"/>
    <w:rsid w:val="008A1677"/>
    <w:rsid w:val="008C0872"/>
    <w:rsid w:val="008D185A"/>
    <w:rsid w:val="008D3B48"/>
    <w:rsid w:val="008D6FB6"/>
    <w:rsid w:val="00901816"/>
    <w:rsid w:val="00931C51"/>
    <w:rsid w:val="0095301E"/>
    <w:rsid w:val="0099655A"/>
    <w:rsid w:val="009A187E"/>
    <w:rsid w:val="009D7CF4"/>
    <w:rsid w:val="009F22DA"/>
    <w:rsid w:val="00A0550C"/>
    <w:rsid w:val="00A11205"/>
    <w:rsid w:val="00A30672"/>
    <w:rsid w:val="00A471C6"/>
    <w:rsid w:val="00A7256D"/>
    <w:rsid w:val="00A77FD9"/>
    <w:rsid w:val="00AA00CE"/>
    <w:rsid w:val="00AB7D90"/>
    <w:rsid w:val="00AC20D3"/>
    <w:rsid w:val="00AC6554"/>
    <w:rsid w:val="00AD7F61"/>
    <w:rsid w:val="00B0291E"/>
    <w:rsid w:val="00B04FB8"/>
    <w:rsid w:val="00B11944"/>
    <w:rsid w:val="00B159B8"/>
    <w:rsid w:val="00C1297C"/>
    <w:rsid w:val="00C2652D"/>
    <w:rsid w:val="00C448C8"/>
    <w:rsid w:val="00C8071B"/>
    <w:rsid w:val="00C87DAB"/>
    <w:rsid w:val="00C97061"/>
    <w:rsid w:val="00CA5C2A"/>
    <w:rsid w:val="00CA63C0"/>
    <w:rsid w:val="00CD5841"/>
    <w:rsid w:val="00CD7E14"/>
    <w:rsid w:val="00D02F9F"/>
    <w:rsid w:val="00D069EE"/>
    <w:rsid w:val="00D509BF"/>
    <w:rsid w:val="00D57FCD"/>
    <w:rsid w:val="00D62B37"/>
    <w:rsid w:val="00D84036"/>
    <w:rsid w:val="00DC5A59"/>
    <w:rsid w:val="00DC60AC"/>
    <w:rsid w:val="00DD62AB"/>
    <w:rsid w:val="00DE60CB"/>
    <w:rsid w:val="00E04860"/>
    <w:rsid w:val="00E12F16"/>
    <w:rsid w:val="00E221AE"/>
    <w:rsid w:val="00E33D28"/>
    <w:rsid w:val="00E423D5"/>
    <w:rsid w:val="00E44BCB"/>
    <w:rsid w:val="00E52386"/>
    <w:rsid w:val="00E578A9"/>
    <w:rsid w:val="00E67441"/>
    <w:rsid w:val="00EA7592"/>
    <w:rsid w:val="00EE2655"/>
    <w:rsid w:val="00F013C8"/>
    <w:rsid w:val="00F24128"/>
    <w:rsid w:val="00F35100"/>
    <w:rsid w:val="00FB7AC1"/>
    <w:rsid w:val="00FC714A"/>
    <w:rsid w:val="00FD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57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A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B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6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F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5A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1B82"/>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456BF1"/>
    <w:pPr>
      <w:tabs>
        <w:tab w:val="center" w:pos="4513"/>
        <w:tab w:val="right" w:pos="9026"/>
      </w:tabs>
    </w:pPr>
  </w:style>
  <w:style w:type="character" w:customStyle="1" w:styleId="FooterChar">
    <w:name w:val="Footer Char"/>
    <w:basedOn w:val="DefaultParagraphFont"/>
    <w:link w:val="Footer"/>
    <w:uiPriority w:val="99"/>
    <w:rsid w:val="00456BF1"/>
  </w:style>
  <w:style w:type="character" w:styleId="PageNumber">
    <w:name w:val="page number"/>
    <w:basedOn w:val="DefaultParagraphFont"/>
    <w:uiPriority w:val="99"/>
    <w:semiHidden/>
    <w:unhideWhenUsed/>
    <w:rsid w:val="00456BF1"/>
  </w:style>
  <w:style w:type="character" w:customStyle="1" w:styleId="Heading3Char">
    <w:name w:val="Heading 3 Char"/>
    <w:basedOn w:val="DefaultParagraphFont"/>
    <w:link w:val="Heading3"/>
    <w:uiPriority w:val="9"/>
    <w:rsid w:val="008A1677"/>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A77FD9"/>
    <w:rPr>
      <w:color w:val="0563C1" w:themeColor="hyperlink"/>
      <w:u w:val="single"/>
    </w:rPr>
  </w:style>
  <w:style w:type="paragraph" w:styleId="EndnoteText">
    <w:name w:val="endnote text"/>
    <w:basedOn w:val="Normal"/>
    <w:link w:val="EndnoteTextChar"/>
    <w:uiPriority w:val="99"/>
    <w:unhideWhenUsed/>
    <w:rsid w:val="00102626"/>
  </w:style>
  <w:style w:type="character" w:customStyle="1" w:styleId="EndnoteTextChar">
    <w:name w:val="Endnote Text Char"/>
    <w:basedOn w:val="DefaultParagraphFont"/>
    <w:link w:val="EndnoteText"/>
    <w:uiPriority w:val="99"/>
    <w:rsid w:val="00102626"/>
  </w:style>
  <w:style w:type="paragraph" w:styleId="ListParagraph">
    <w:name w:val="List Paragraph"/>
    <w:basedOn w:val="Normal"/>
    <w:uiPriority w:val="34"/>
    <w:qFormat/>
    <w:rsid w:val="00102626"/>
    <w:pPr>
      <w:ind w:left="720"/>
      <w:contextualSpacing/>
    </w:pPr>
  </w:style>
  <w:style w:type="character" w:styleId="IntenseReference">
    <w:name w:val="Intense Reference"/>
    <w:basedOn w:val="DefaultParagraphFont"/>
    <w:uiPriority w:val="32"/>
    <w:qFormat/>
    <w:rsid w:val="005F0A5E"/>
    <w:rPr>
      <w:b/>
      <w:bCs/>
      <w:smallCaps/>
      <w:color w:val="5B9BD5" w:themeColor="accent1"/>
      <w:spacing w:val="5"/>
    </w:rPr>
  </w:style>
  <w:style w:type="paragraph" w:styleId="Header">
    <w:name w:val="header"/>
    <w:basedOn w:val="Normal"/>
    <w:link w:val="HeaderChar"/>
    <w:uiPriority w:val="99"/>
    <w:unhideWhenUsed/>
    <w:rsid w:val="00FD223B"/>
    <w:pPr>
      <w:tabs>
        <w:tab w:val="center" w:pos="4513"/>
        <w:tab w:val="right" w:pos="9026"/>
      </w:tabs>
    </w:pPr>
  </w:style>
  <w:style w:type="character" w:customStyle="1" w:styleId="HeaderChar">
    <w:name w:val="Header Char"/>
    <w:basedOn w:val="DefaultParagraphFont"/>
    <w:link w:val="Header"/>
    <w:uiPriority w:val="99"/>
    <w:rsid w:val="00FD223B"/>
  </w:style>
  <w:style w:type="paragraph" w:styleId="IntenseQuote">
    <w:name w:val="Intense Quote"/>
    <w:basedOn w:val="Normal"/>
    <w:next w:val="Normal"/>
    <w:link w:val="IntenseQuoteChar"/>
    <w:uiPriority w:val="30"/>
    <w:qFormat/>
    <w:rsid w:val="00CD584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D5841"/>
    <w:rPr>
      <w:i/>
      <w:iCs/>
      <w:color w:val="5B9BD5" w:themeColor="accent1"/>
    </w:rPr>
  </w:style>
  <w:style w:type="character" w:styleId="FollowedHyperlink">
    <w:name w:val="FollowedHyperlink"/>
    <w:basedOn w:val="DefaultParagraphFont"/>
    <w:uiPriority w:val="99"/>
    <w:semiHidden/>
    <w:unhideWhenUsed/>
    <w:rsid w:val="00234C81"/>
    <w:rPr>
      <w:color w:val="954F72" w:themeColor="followedHyperlink"/>
      <w:u w:val="single"/>
    </w:rPr>
  </w:style>
  <w:style w:type="character" w:styleId="Strong">
    <w:name w:val="Strong"/>
    <w:basedOn w:val="DefaultParagraphFont"/>
    <w:uiPriority w:val="22"/>
    <w:qFormat/>
    <w:rsid w:val="00394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50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consultingfootpain.co.uk/wp-content/uploads/2018/08/Ref.Pod-Pr.-2018-7The-use-of-two-injectable-corticosteroid.docx" TargetMode="External"/><Relationship Id="rId13" Type="http://schemas.openxmlformats.org/officeDocument/2006/relationships/image" Target="media/image4.pdf"/><Relationship Id="rId14" Type="http://schemas.openxmlformats.org/officeDocument/2006/relationships/hyperlink" Target="https://www.pascom-10.com/information-resources" TargetMode="External"/><Relationship Id="rId15" Type="http://schemas.openxmlformats.org/officeDocument/2006/relationships/hyperlink" Target="http://journals.sagepub.com/doi/10.1177/1071100716674998" TargetMode="External"/><Relationship Id="rId16" Type="http://schemas.openxmlformats.org/officeDocument/2006/relationships/hyperlink" Target="https://www.youtube.com/watch?reload=9&amp;v=FnJ3L-63Cf8" TargetMode="External"/><Relationship Id="rId17" Type="http://schemas.openxmlformats.org/officeDocument/2006/relationships/hyperlink" Target="mailto:davidt@busypencilcase.com" TargetMode="External"/><Relationship Id="rId18" Type="http://schemas.openxmlformats.org/officeDocument/2006/relationships/image" Target="media/image5.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3289</Words>
  <Characters>18752</Characters>
  <Application>Microsoft Macintosh Word</Application>
  <DocSecurity>0</DocSecurity>
  <Lines>156</Lines>
  <Paragraphs>43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Background evidence</vt:lpstr>
      <vt:lpstr>    Tests &amp; Investigations</vt:lpstr>
      <vt:lpstr>    Size of neuroma</vt:lpstr>
      <vt:lpstr>    </vt:lpstr>
      <vt:lpstr>    Location</vt:lpstr>
      <vt:lpstr>    Historical Podiatric Treatment in the UK</vt:lpstr>
      <vt:lpstr/>
      <vt:lpstr>Case History emphasising ‘Timeline’ (methodology)</vt:lpstr>
      <vt:lpstr>    </vt:lpstr>
      <vt:lpstr>    Pathogenesis</vt:lpstr>
      <vt:lpstr/>
      <vt:lpstr>Staged treatment</vt:lpstr>
      <vt:lpstr>        Conservative care</vt:lpstr>
      <vt:lpstr>        Steroid</vt:lpstr>
      <vt:lpstr>        Surgery</vt:lpstr>
      <vt:lpstr>    Difference in timelines</vt:lpstr>
      <vt:lpstr/>
      <vt:lpstr>Learning (Conclusion with discussion)</vt:lpstr>
      <vt:lpstr>    References &amp; bibliography</vt:lpstr>
      <vt:lpstr>This article is based on a talk given to Podiatry branches in England during 201</vt:lpstr>
      <vt:lpstr>IF you would like to have a talk on this or another related subject, please cont</vt:lpstr>
      <vt:lpstr>davidt@busypencilcase.com</vt:lpstr>
    </vt:vector>
  </TitlesOfParts>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2019-11-24T08:56:00Z</dcterms:created>
  <dcterms:modified xsi:type="dcterms:W3CDTF">2019-11-24T08:56:00Z</dcterms:modified>
</cp:coreProperties>
</file>